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A3" w:rsidRDefault="00754CD5">
      <w:pPr>
        <w:pStyle w:val="lfej"/>
        <w:tabs>
          <w:tab w:val="left" w:pos="2370"/>
          <w:tab w:val="left" w:pos="2410"/>
        </w:tabs>
        <w:jc w:val="center"/>
        <w:rPr>
          <w:b/>
          <w:color w:val="595959"/>
          <w:sz w:val="36"/>
          <w:szCs w:val="36"/>
        </w:rPr>
      </w:pPr>
      <w:bookmarkStart w:id="0" w:name="_GoBack"/>
      <w:bookmarkEnd w:id="0"/>
      <w:proofErr w:type="spellStart"/>
      <w:r>
        <w:rPr>
          <w:b/>
          <w:color w:val="595959"/>
          <w:sz w:val="36"/>
          <w:szCs w:val="36"/>
        </w:rPr>
        <w:t>Currículum</w:t>
      </w:r>
      <w:proofErr w:type="spellEnd"/>
      <w:r>
        <w:rPr>
          <w:b/>
          <w:color w:val="595959"/>
          <w:sz w:val="36"/>
          <w:szCs w:val="36"/>
        </w:rPr>
        <w:t xml:space="preserve"> vitae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4"/>
          <w:szCs w:val="24"/>
          <w:lang w:val="es-ES_tradnl"/>
        </w:rPr>
      </w:pP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Datos personales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376"/>
        <w:gridCol w:w="6555"/>
      </w:tblGrid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Nombre y apellido:</w:t>
            </w: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Centro de trabajo: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Contactos:</w:t>
            </w:r>
          </w:p>
        </w:tc>
        <w:tc>
          <w:tcPr>
            <w:tcW w:w="6555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  <w:t xml:space="preserve">Veronika Praefort </w:t>
            </w: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  <w:t>Universidad de Szeged, Departamento de Estudios Hispánicos</w:t>
            </w: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fr-FR"/>
              </w:rPr>
              <w:t xml:space="preserve">6722 Szeged, Petőfi Sándor sgt. 30-34. Hungría  </w:t>
            </w: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e-mail: </w:t>
            </w:r>
            <w:r>
              <w:fldChar w:fldCharType="begin"/>
            </w:r>
            <w:r>
              <w:instrText xml:space="preserve"> HYPERLINK "mailto:vpraefort@yahoo.com" </w:instrText>
            </w:r>
            <w:r>
              <w:fldChar w:fldCharType="separate"/>
            </w:r>
            <w: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val="es-ES_tradnl"/>
              </w:rPr>
              <w:t>vpraefort@yahoo.com</w:t>
            </w:r>
            <w: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val="es-ES_tradnl"/>
              </w:rPr>
              <w:fldChar w:fldCharType="end"/>
            </w:r>
          </w:p>
        </w:tc>
      </w:tr>
    </w:tbl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Estudios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320"/>
        <w:gridCol w:w="6611"/>
      </w:tblGrid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1994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Licenciada en Filología Española por la Universidad Eötvös Loránd de Budapest </w:t>
            </w:r>
          </w:p>
        </w:tc>
      </w:tr>
      <w:tr w:rsidR="00C548A3">
        <w:tc>
          <w:tcPr>
            <w:tcW w:w="2320" w:type="dxa"/>
          </w:tcPr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</w:p>
        </w:tc>
        <w:tc>
          <w:tcPr>
            <w:tcW w:w="6611" w:type="dxa"/>
          </w:tcPr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7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Experiencia docente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320"/>
        <w:gridCol w:w="6611"/>
      </w:tblGrid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2015-: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octubre-noviembre de 2015 Formación de examinadores DELE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2013-: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Centro de Formación de Traductores e Intérpretes de la Universidad de Szeged, cursos de técnicas de traducción del húngaro al español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2009: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Instituto de Comunicación en Lenguas Extranjeras de la Universidad de Szeged, cursos de español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2005-: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Sistema de exámenes ECL, examinadora en exámenes de lengua española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2000-: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Centro de Aprendizaje Avanzado de Idiomas ORIGO ITK: examinadora en exámenes de lengua española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1999-től: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Departamento de Estudios Hispánicos de la Universidad de Szeged, cursos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 de metodología, cursos de lingüística española para alumnos de filología española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1997-2001: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595959"/>
                <w:sz w:val="24"/>
                <w:szCs w:val="24"/>
                <w:lang w:val="es-ES_tradnl"/>
              </w:rPr>
            </w:pPr>
            <w:r>
              <w:rPr>
                <w:color w:val="595959"/>
                <w:sz w:val="24"/>
                <w:szCs w:val="24"/>
                <w:lang w:val="es-ES_tradnl"/>
              </w:rPr>
              <w:t>Departamento de Cultura Pública de la Escuela Superior Juhász Gyula de Szeged</w:t>
            </w:r>
            <w:r>
              <w:rPr>
                <w:rFonts w:eastAsia="Times New Roman" w:cs="Times New Roman"/>
                <w:color w:val="595959"/>
                <w:sz w:val="24"/>
                <w:szCs w:val="24"/>
                <w:lang w:val="es-ES_tradnl"/>
              </w:rPr>
              <w:t>, dando cursos de lengua, práctica de traducción y redacción para alumnos de hispan</w:t>
            </w:r>
            <w:r>
              <w:rPr>
                <w:rFonts w:eastAsia="Times New Roman" w:cs="Times New Roman"/>
                <w:color w:val="595959"/>
                <w:sz w:val="24"/>
                <w:szCs w:val="24"/>
                <w:lang w:val="es-ES_tradnl"/>
              </w:rPr>
              <w:t>ística.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595959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0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1994-:</w:t>
            </w:r>
          </w:p>
        </w:tc>
        <w:tc>
          <w:tcPr>
            <w:tcW w:w="6611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Departamento de Estudios Hispánicos de la Universidad de Szeged, cursos de lengua, práctica gramatical, práctica de traducción y redacción para alumnos de filología española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O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lastRenderedPageBreak/>
        <w:t>Otros estudios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326"/>
        <w:gridCol w:w="6746"/>
      </w:tblGrid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julio de 2010: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  <w:t xml:space="preserve">Universidad de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Santiago de Compostela,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  <w:t xml:space="preserve">curso de actualización para profesores de ELE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febrero-julio de 1996: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La Coruña, estudios e investigaciones sobre las características del lenguaje coloquial español 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febrero-junio de 1991: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Universidad de Salamanc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a, cursos de lengua española, lingüística española y literatura española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4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8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Cursos de formación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376"/>
        <w:gridCol w:w="6696"/>
      </w:tblGrid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23-24 de marzo de 2024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Instituto Cervantes de Budapest, Hungría, VIII Jornadas Didácticas del Español como Lengua Extranjera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18 de noviembre de 2023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bCs/>
                <w:color w:val="4D4D4D"/>
                <w:sz w:val="24"/>
                <w:szCs w:val="24"/>
                <w:lang w:val="es-ES_tradnl"/>
              </w:rPr>
              <w:t>"</w:t>
            </w:r>
            <w:r>
              <w:rPr>
                <w:color w:val="4D4D4D"/>
                <w:sz w:val="24"/>
                <w:szCs w:val="24"/>
              </w:rPr>
              <w:t xml:space="preserve">El </w:t>
            </w:r>
            <w:proofErr w:type="spellStart"/>
            <w:r>
              <w:rPr>
                <w:color w:val="4D4D4D"/>
                <w:sz w:val="24"/>
                <w:szCs w:val="24"/>
              </w:rPr>
              <w:t>trabajo</w:t>
            </w:r>
            <w:proofErr w:type="spellEnd"/>
            <w:r>
              <w:rPr>
                <w:color w:val="4D4D4D"/>
                <w:sz w:val="24"/>
                <w:szCs w:val="24"/>
              </w:rPr>
              <w:t xml:space="preserve"> por </w:t>
            </w:r>
            <w:proofErr w:type="spellStart"/>
            <w:r>
              <w:rPr>
                <w:color w:val="4D4D4D"/>
                <w:sz w:val="24"/>
                <w:szCs w:val="24"/>
              </w:rPr>
              <w:t>proyectos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 en el aula de ELE"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9 de octubre de 2021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"Colaboración y trabajo en equipo en el aula de ELE"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 xml:space="preserve">5 de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octubre de 2019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"Escritura creativa y motivación en el aula de ELE"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22 de septiembre de 2018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"Aprendizaje experiencial y la in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novación educativa en las clases de ELE"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30 de septiembre de 2017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"Talleres de actualización metodológica"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 de octubre de 2016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Universidad de Szeged, Hungría, curso de formación metodológ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</w:t>
            </w:r>
            <w:proofErr w:type="spellStart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>Nuevos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>enfoques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>gramática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>uso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 xml:space="preserve"> de las TIC en la </w:t>
            </w:r>
            <w:proofErr w:type="spellStart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>clase</w:t>
            </w:r>
            <w:proofErr w:type="spellEnd"/>
            <w:r>
              <w:rPr>
                <w:rFonts w:eastAsia="Times New Roman" w:cs="Times New Roman"/>
                <w:bCs/>
                <w:color w:val="404040"/>
                <w:sz w:val="24"/>
                <w:szCs w:val="24"/>
              </w:rPr>
              <w:t xml:space="preserve"> de ELE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5 de mayo de 2016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Instituto Cervantes de Budapest, Hungría, Jornada Didáctica del Español como Lengua Extranjera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9 de abril de 2016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Instituto Cervantes de Budapest, Hungría,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IV Jornadas de Didáctica del Español como Lengua Extranjera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septiembre - octubre de 2015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. 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Formación de examinadores DELE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lastRenderedPageBreak/>
              <w:t>26 de septiembre de 2015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Universidad de Szeged, Hungría, curso de formación metodológica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"Retos en la enseñanza del español"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22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-23 de junio de 2015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Szeged, Enseñanza de lenguas extranjeras para estudiantes con dificultades de aprendizaje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11 de abril de 2015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Instituto Cervantes de Budapest, Hungría, III Jornadas de Didáctica del Español como Lengua Extranjera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 xml:space="preserve">24 de marzo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de2015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Budapest, Foro profesional de filólogos mentores y jefes de estudios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11 de marzo de 2015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Szeged, Curso de formación metodológica de la Editorial Grimm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1 de diciembre de 2014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Szeged, Curso de formación metodológica de la Editorial Grimm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 xml:space="preserve">18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de noviembre de 2013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Budapest, Taller de la Fundación Pública Tempus sobre formación actualizada del profesorado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9 de noviembre de 2013</w:t>
            </w:r>
          </w:p>
        </w:tc>
        <w:tc>
          <w:tcPr>
            <w:tcW w:w="669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Szeged, Asociación Internacional de Profesores de Inglés como Lengua Extranjera: Enseñemos la lengua de otra manera -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 xml:space="preserve"> ¿Pero, cómo?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2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W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Publicaciones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548A3">
        <w:tc>
          <w:tcPr>
            <w:tcW w:w="9072" w:type="dxa"/>
          </w:tcPr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Lucila González Alfaya, Praefort Veronika, Wagner Hella (traductoras) (2020): János Arany: El ruiseñor. Homo Hispanisticus: Diákműhely 2019–2020, Szeged, SZTE BTK Hispanisztika Tanszék, 2020. (red.: Katona Eszter)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Veronika Praefort: Al compás del español – actividades para dinamizar la clase en: Serie Didáctica 2020 No. 4. ISSN 2559-8309 del Departamento de Estudios Hispánicos de la Universidad de Szeged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Práctica gramatical española I-II. Teoría y ejercicios, Szege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d, 2019. JATEPress, ISBN: 9789633154267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Lucila González Alfaya y Veronika Praefort: Español a mano en: Serie Didáctica 2019 No. 3. ISSN 2559-8309 del Departamento de Estudios Hispánicos de la Universidad de Szeged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Veronika Praefort: ¡Siente el español! T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écnicas multisensoriales en el aula de ele en: Serie Didáctica 2018 No. 2. ISSN 2559-8309 del Departamento de Estudios Hispánicos de la Universidad de Szeged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Veronika Praefort: La  enseñanza  del  español  y  los  problemas  de  aprendizaje.  Técnicas, mé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todos, actividades  en: Serie Didáctica 2017 No. 1. ISSN 2559-8309 del Departamento de Estudios Hispánicos de la Universidad de Szeged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rPr>
                <w:color w:val="404040"/>
                <w:sz w:val="24"/>
                <w:szCs w:val="24"/>
                <w:lang w:val="es-ES_tradnl"/>
              </w:rPr>
            </w:pPr>
            <w:r>
              <w:rPr>
                <w:rFonts w:cs="Times New Roman"/>
                <w:color w:val="404040"/>
                <w:sz w:val="24"/>
                <w:szCs w:val="24"/>
                <w:lang w:val="es-ES_tradnl"/>
              </w:rPr>
              <w:lastRenderedPageBreak/>
              <w:t xml:space="preserve">Szajbély, M., Anderle, Ádám, Wittman, T., &amp; Praefort, V. (traducción.) (2016). Discurso del Dr. Mihály Szajbély. Acta </w:t>
            </w:r>
            <w:r>
              <w:rPr>
                <w:rFonts w:cs="Times New Roman"/>
                <w:color w:val="404040"/>
                <w:sz w:val="24"/>
                <w:szCs w:val="24"/>
                <w:lang w:val="es-ES_tradnl"/>
              </w:rPr>
              <w:t>Hispanica, 21, 7-9.</w:t>
            </w:r>
            <w:r>
              <w:rPr>
                <w:rFonts w:cs="Times New Roman"/>
                <w:color w:val="404040"/>
                <w:sz w:val="24"/>
                <w:szCs w:val="24"/>
                <w:lang w:val="es-ES_tradnl"/>
              </w:rPr>
              <w:br/>
              <w:t>https://doi.org/10.14232/actahisp.2016.21.7-9, ISSN: 1416-7263 |9</w:t>
            </w: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Diccionario Húngaro-español para Alumnos, Editorial Grimm, Szeged, 2008, ISBN: 978 963 7460 54 8 (lectora)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Diccionario Húngaro-español, Szeged, 2006. Editorial Grimm (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lectora), ISBN: 963 7460 12 8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Práctica gramatical española II., Szeged, 2003. JATEPRESS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Práctica gramatical española I., Szeged, 2003. JATEPRESS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“Acerca del lenguaje coloquial español”, </w:t>
            </w:r>
            <w:r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  <w:t>Acta Hispanica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, I, 1996, pp. 61-67.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6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9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Z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Redacción y revisión de</w:t>
      </w: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 xml:space="preserve"> publicaciones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4"/>
          <w:szCs w:val="24"/>
          <w:lang w:val="es-ES_tradnl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Berta, Tibor (red.) ; Csikós, Zsuzsanna (red.) ; Jancsó, Katalin (red.) ; Katona, Eszter (red.) ; Lénárt, András (red.) ; Praefort, Veronika (red.): (2020) Acta Hispanica, Supplementum: América Latina Y el mundo: Espacios de encuentro y coo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peración, Actas del XIX congreso de la FIEALC. Szeged, 24-28 de junio de 2019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Berta Tibor, Jancsó Katalin, Praefort Veronika (red.): Serie didáctica 4., Departamento de Estudios Hispánicos de la Universidad de Szeged, 2020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Berta Tibor, Jancsó Katalin, Pr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aefort Veronika (red.): Serie didáctica 3., Departamento de Estudios Hispánicos de la Universidad de Szeged, 2019.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Berta Tibor, Jancsó Katalin, Praefort Veronika (red.): Serie didáctica 2., Departamento de Estudios Hispánicos de la Universidad de Szeged,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2018.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Berta Tibor, Jancsó Katalin, Praefort Veronika (red.): Serie didáctica 1., Departamento de Estudios Hispánicos de la Universidad de Szeged, 2017.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Berta, Tibor (red.) ; Csikós, Zsuzsanna (red.) ; Jancsó, Katalin (red.) ; Katona, Eszter (red.) ; Léná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rt, András (red.) ; Praefort, Veronika (red.): 25 años - 25 ensayos.</w:t>
            </w:r>
            <w:r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Capítulos de la historia del Departamento de Estudios Hispánicos. 1993-2018. Szeged, Hungría: JATEPress Kiadó (2018) , 320 p. ISBN: 9789633153826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Berta, Tibor (red.) ; Csikós, Zsuzsanna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(red.) ; Jancsó, Katalin (red.) ; Katona, Eszter (red.) ; Lénárt, András (red.) ; Praefort, Veronika (red.): Hogares, fronteras y transgresiones en el mundo hispánico. Acta Hispanica 23. Szeged, Hungría: JATEPress Kiadó (2018) 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lastRenderedPageBreak/>
              <w:t>Diccionario Húngaro-Español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 para Alumnos, Editorial Grimm, Szeged, 2008, ISBN: 978 963 7460 54 8 (lectora)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Diccionario Húngaro-Español, Szeged, 2006. Editorial Grimm (lectora), ISBN: 963 7460 12 8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  <w:lastRenderedPageBreak/>
              <w:t>Acta Hispanica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, V, 2000. (Red. por Veronika Praefort)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907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i/>
                <w:color w:val="404040"/>
                <w:sz w:val="24"/>
                <w:szCs w:val="24"/>
                <w:lang w:val="es-ES_tradnl"/>
              </w:rPr>
              <w:t>Acta Hispanica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, IV, 1999.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(Red. por Veronika Praefort)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262626"/>
                <w:sz w:val="24"/>
                <w:szCs w:val="24"/>
                <w:lang w:val="es-ES_tradnl" w:eastAsia="zh-CN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5276850" cy="209550"/>
                  <wp:effectExtent l="0" t="0" r="0" b="0"/>
                  <wp:docPr id="7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10" descr="spacer2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IAB6AAAAAAAAABAAAAAAAAAAAAAAAAAAAAAAAAAAAAAAAAAAAAdiAAAEoB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09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Ponencias y talleres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4"/>
          <w:szCs w:val="24"/>
          <w:lang w:val="es-ES_tradnl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326"/>
        <w:gridCol w:w="6746"/>
      </w:tblGrid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18 de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noviembre</w:t>
            </w: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 de 2023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ponente en el curso de formación profesional "</w:t>
            </w:r>
            <w:r>
              <w:rPr>
                <w:color w:val="4D4D4D"/>
                <w:sz w:val="24"/>
                <w:szCs w:val="24"/>
              </w:rPr>
              <w:t xml:space="preserve">El </w:t>
            </w:r>
            <w:proofErr w:type="spellStart"/>
            <w:r>
              <w:rPr>
                <w:color w:val="4D4D4D"/>
                <w:sz w:val="24"/>
                <w:szCs w:val="24"/>
              </w:rPr>
              <w:t>trabajo</w:t>
            </w:r>
            <w:proofErr w:type="spellEnd"/>
            <w:r>
              <w:rPr>
                <w:color w:val="4D4D4D"/>
                <w:sz w:val="24"/>
                <w:szCs w:val="24"/>
              </w:rPr>
              <w:t xml:space="preserve"> por </w:t>
            </w:r>
            <w:proofErr w:type="spellStart"/>
            <w:r>
              <w:rPr>
                <w:color w:val="4D4D4D"/>
                <w:sz w:val="24"/>
                <w:szCs w:val="24"/>
              </w:rPr>
              <w:t>proyectos</w:t>
            </w:r>
            <w:proofErr w:type="spellEnd"/>
            <w:r>
              <w:rPr>
                <w:bCs/>
                <w:color w:val="4D4D4D"/>
                <w:sz w:val="24"/>
                <w:szCs w:val="24"/>
                <w:lang w:val="es-ES_tradnl"/>
              </w:rPr>
              <w:t xml:space="preserve"> en el aula de ELE" organizado por el Departamento d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e Estudios Hispánicos de la Universidad de Szeged,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Hungría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9 de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octubre</w:t>
            </w: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 de 2021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ponente en el curso de formación profesional "Colaboración y trabajo en equipo en el aula de ELE" organizado por el Departamento de Estudios Hispánicos de la Universidad de Szeged, Hungría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5 de </w:t>
            </w: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octubre</w:t>
            </w: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 xml:space="preserve"> de 2019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ponente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 en el curso de formación profesional "Escritura creativa y motivación en el aula de ELE" organizado por el Departamento de Estudios Hispánicos de la Universidad de Szeged, Hungría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22 de septiembre de 2018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ponente en el curso de formación profesional "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Aprendizaje experiencial y la innovación educativa en las clases de ELE" organizado por el Departamento de Estudios Hispánicos de la Universidad de Szeged, Hungría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30 de septiembre de 2017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ponente en el curso de formación profesional "Talleres de actua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lización metodológica" organizado por el Departamento de Estudios Hispánicos de la Universidad de Szeged, Hungría 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1 de octubre de 2016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organizadora del curso de formación profesional "Nuevos enfoques de la gramática y el uso de las TIC en la clase de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ele" organizado por el Departamento de Estudios Hispánicos de la Universidad de Szeged, Hungría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26 de septiembre de 2015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746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ponente en el curso de formación profesional "Retos en la enseñanza del español" organizado por el Departamento de Estudios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Hispánicos de la Universidad de Szeged, Hungría en el marco del programa TÁMOP-4.2.1.D-15/1/KONV-2015-0002 "Establecimiento de servicios de educación superior al servicio de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lastRenderedPageBreak/>
              <w:t>las necesidades de la industria del conocimiento en la región de la Gran Llanura d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el Sur"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276850" cy="209550"/>
            <wp:effectExtent l="0" t="0" r="0" b="0"/>
            <wp:docPr id="8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11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Proyectos</w:t>
      </w:r>
    </w:p>
    <w:p w:rsidR="00C548A3" w:rsidRDefault="00C548A3">
      <w:pPr>
        <w:suppressAutoHyphens/>
        <w:spacing w:after="0" w:line="240" w:lineRule="auto"/>
        <w:jc w:val="both"/>
        <w:rPr>
          <w:rFonts w:eastAsia="Times New Roman" w:cs="Times New Roman"/>
          <w:bCs/>
          <w:color w:val="404040"/>
          <w:sz w:val="24"/>
          <w:szCs w:val="24"/>
          <w:lang w:val="es-ES_tradnl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326"/>
        <w:gridCol w:w="6605"/>
      </w:tblGrid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Enero de 2018 - julio de 2021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605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EFOP-3.2.14-17-2017-00001, LÉNYEg (educación experimental)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Septiembre de 2017-junio de 2021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605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EFOP-3.4.3-16-2016-00014 (actividades de tutoría)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  <w:tr w:rsidR="00C548A3">
        <w:tc>
          <w:tcPr>
            <w:tcW w:w="232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404040"/>
                <w:sz w:val="24"/>
                <w:szCs w:val="24"/>
                <w:lang w:val="es-ES_tradnl"/>
              </w:rPr>
              <w:t>2015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605" w:type="dxa"/>
          </w:tcPr>
          <w:p w:rsidR="00C548A3" w:rsidRDefault="00754CD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 xml:space="preserve">TÁMOP-4.2.1.D-15/1/KONV-2015-0002 </w:t>
            </w:r>
            <w:r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  <w:t>Establecimiento de servicios de educación superior al servicio de las necesidades de la industria del conocimiento en la región de la Gran Llanura del Sur</w:t>
            </w:r>
          </w:p>
          <w:p w:rsidR="00C548A3" w:rsidRDefault="00C548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color w:val="404040"/>
                <w:sz w:val="24"/>
                <w:szCs w:val="24"/>
                <w:lang w:val="es-ES_tradnl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262626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9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12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754CD5">
      <w:pPr>
        <w:suppressAutoHyphens/>
        <w:spacing w:after="0" w:line="240" w:lineRule="auto"/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</w:pPr>
      <w:r>
        <w:rPr>
          <w:rFonts w:eastAsia="Times New Roman" w:cs="Times New Roman"/>
          <w:b/>
          <w:bCs/>
          <w:color w:val="673694"/>
          <w:sz w:val="28"/>
          <w:szCs w:val="28"/>
          <w:lang w:val="es-ES_tradnl"/>
        </w:rPr>
        <w:t>Conocimientos de lengua</w:t>
      </w:r>
    </w:p>
    <w:p w:rsidR="00C548A3" w:rsidRDefault="00C548A3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</w:p>
    <w:tbl>
      <w:tblPr>
        <w:tblW w:w="8528" w:type="dxa"/>
        <w:tblLook w:val="04A0" w:firstRow="1" w:lastRow="0" w:firstColumn="1" w:lastColumn="0" w:noHBand="0" w:noVBand="1"/>
      </w:tblPr>
      <w:tblGrid>
        <w:gridCol w:w="2376"/>
        <w:gridCol w:w="6152"/>
      </w:tblGrid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615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C1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  <w:tr w:rsidR="00C548A3">
        <w:tc>
          <w:tcPr>
            <w:tcW w:w="2376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  <w:r>
              <w:rPr>
                <w:rFonts w:eastAsia="Times New Roman" w:cs="Times New Roman"/>
                <w:b/>
                <w:color w:val="404040"/>
                <w:sz w:val="24"/>
                <w:szCs w:val="24"/>
                <w:lang w:val="es-ES_tradnl"/>
              </w:rPr>
              <w:t>Inglés</w:t>
            </w:r>
          </w:p>
        </w:tc>
        <w:tc>
          <w:tcPr>
            <w:tcW w:w="6152" w:type="dxa"/>
          </w:tcPr>
          <w:p w:rsidR="00C548A3" w:rsidRDefault="00754CD5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val="es-ES_tradnl"/>
              </w:rPr>
              <w:t>B2</w:t>
            </w:r>
          </w:p>
          <w:p w:rsidR="00C548A3" w:rsidRDefault="00C548A3">
            <w:pPr>
              <w:suppressAutoHyphens/>
              <w:spacing w:after="0" w:line="240" w:lineRule="auto"/>
              <w:rPr>
                <w:rFonts w:eastAsia="Times New Roman" w:cs="Times New Roman"/>
                <w:color w:val="404040"/>
                <w:sz w:val="24"/>
                <w:szCs w:val="24"/>
                <w:lang w:val="es-ES_tradnl" w:eastAsia="zh-CN"/>
              </w:rPr>
            </w:pPr>
          </w:p>
        </w:tc>
      </w:tr>
    </w:tbl>
    <w:p w:rsidR="00C548A3" w:rsidRDefault="00754CD5">
      <w:pPr>
        <w:suppressAutoHyphens/>
        <w:spacing w:after="0" w:line="240" w:lineRule="auto"/>
        <w:rPr>
          <w:rFonts w:eastAsia="Times New Roman" w:cs="Times New Roman"/>
          <w:color w:val="404040"/>
          <w:sz w:val="24"/>
          <w:szCs w:val="24"/>
          <w:lang w:val="es-ES_tradnl" w:eastAsia="zh-CN"/>
        </w:rPr>
      </w:pPr>
      <w:r>
        <w:rPr>
          <w:noProof/>
          <w:lang w:eastAsia="hu-HU"/>
        </w:rPr>
        <w:drawing>
          <wp:inline distT="0" distB="0" distL="0" distR="0">
            <wp:extent cx="5276850" cy="209550"/>
            <wp:effectExtent l="0" t="0" r="0" b="0"/>
            <wp:docPr id="1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" descr="spacer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C6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oAAAAB6AAAAAAAAAAAAAAAAAAAAAAAAAAAAAAAAAAAAAAAAAAAAAAdiAAAEoB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548A3" w:rsidRDefault="00C548A3">
      <w:pPr>
        <w:rPr>
          <w:sz w:val="24"/>
          <w:szCs w:val="24"/>
          <w:lang w:val="es-ES_tradnl"/>
        </w:rPr>
      </w:pPr>
    </w:p>
    <w:sectPr w:rsidR="00C548A3"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FE3"/>
    <w:multiLevelType w:val="hybridMultilevel"/>
    <w:tmpl w:val="3E7C65FA"/>
    <w:name w:val="Számozott lista 5"/>
    <w:lvl w:ilvl="0" w:tplc="8DC084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BA0F4D4">
      <w:start w:val="1"/>
      <w:numFmt w:val="lowerLetter"/>
      <w:lvlText w:val="%2."/>
      <w:lvlJc w:val="left"/>
      <w:pPr>
        <w:ind w:left="1080" w:firstLine="0"/>
      </w:pPr>
    </w:lvl>
    <w:lvl w:ilvl="2" w:tplc="187CB528">
      <w:start w:val="1"/>
      <w:numFmt w:val="lowerRoman"/>
      <w:lvlText w:val="%3."/>
      <w:lvlJc w:val="left"/>
      <w:pPr>
        <w:ind w:left="1980" w:firstLine="0"/>
      </w:pPr>
    </w:lvl>
    <w:lvl w:ilvl="3" w:tplc="57889758">
      <w:start w:val="1"/>
      <w:numFmt w:val="decimal"/>
      <w:lvlText w:val="%4."/>
      <w:lvlJc w:val="left"/>
      <w:pPr>
        <w:ind w:left="2520" w:firstLine="0"/>
      </w:pPr>
    </w:lvl>
    <w:lvl w:ilvl="4" w:tplc="B5D66DB0">
      <w:start w:val="1"/>
      <w:numFmt w:val="lowerLetter"/>
      <w:lvlText w:val="%5."/>
      <w:lvlJc w:val="left"/>
      <w:pPr>
        <w:ind w:left="3240" w:firstLine="0"/>
      </w:pPr>
    </w:lvl>
    <w:lvl w:ilvl="5" w:tplc="7B3C42E2">
      <w:start w:val="1"/>
      <w:numFmt w:val="lowerRoman"/>
      <w:lvlText w:val="%6."/>
      <w:lvlJc w:val="left"/>
      <w:pPr>
        <w:ind w:left="4140" w:firstLine="0"/>
      </w:pPr>
    </w:lvl>
    <w:lvl w:ilvl="6" w:tplc="56CC382E">
      <w:start w:val="1"/>
      <w:numFmt w:val="decimal"/>
      <w:lvlText w:val="%7."/>
      <w:lvlJc w:val="left"/>
      <w:pPr>
        <w:ind w:left="4680" w:firstLine="0"/>
      </w:pPr>
    </w:lvl>
    <w:lvl w:ilvl="7" w:tplc="92AA2794">
      <w:start w:val="1"/>
      <w:numFmt w:val="lowerLetter"/>
      <w:lvlText w:val="%8."/>
      <w:lvlJc w:val="left"/>
      <w:pPr>
        <w:ind w:left="5400" w:firstLine="0"/>
      </w:pPr>
    </w:lvl>
    <w:lvl w:ilvl="8" w:tplc="D2E4F42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40EE287C"/>
    <w:multiLevelType w:val="hybridMultilevel"/>
    <w:tmpl w:val="A7A046FE"/>
    <w:name w:val="Számozott lista 1"/>
    <w:lvl w:ilvl="0" w:tplc="14684570">
      <w:numFmt w:val="bullet"/>
      <w:lvlText w:val=""/>
      <w:lvlJc w:val="left"/>
      <w:pPr>
        <w:ind w:left="180" w:firstLine="0"/>
      </w:pPr>
      <w:rPr>
        <w:rFonts w:ascii="Symbol" w:hAnsi="Symbol"/>
      </w:rPr>
    </w:lvl>
    <w:lvl w:ilvl="1" w:tplc="6DA85686">
      <w:numFmt w:val="bullet"/>
      <w:lvlText w:val="o"/>
      <w:lvlJc w:val="left"/>
      <w:pPr>
        <w:ind w:left="900" w:firstLine="0"/>
      </w:pPr>
      <w:rPr>
        <w:rFonts w:ascii="Courier New" w:hAnsi="Courier New" w:cs="Courier New"/>
      </w:rPr>
    </w:lvl>
    <w:lvl w:ilvl="2" w:tplc="E856ED26">
      <w:numFmt w:val="bullet"/>
      <w:lvlText w:val=""/>
      <w:lvlJc w:val="left"/>
      <w:pPr>
        <w:ind w:left="1620" w:firstLine="0"/>
      </w:pPr>
      <w:rPr>
        <w:rFonts w:ascii="Wingdings" w:eastAsia="Wingdings" w:hAnsi="Wingdings" w:cs="Wingdings"/>
      </w:rPr>
    </w:lvl>
    <w:lvl w:ilvl="3" w:tplc="52ECA738">
      <w:numFmt w:val="bullet"/>
      <w:lvlText w:val=""/>
      <w:lvlJc w:val="left"/>
      <w:pPr>
        <w:ind w:left="2340" w:firstLine="0"/>
      </w:pPr>
      <w:rPr>
        <w:rFonts w:ascii="Symbol" w:hAnsi="Symbol"/>
      </w:rPr>
    </w:lvl>
    <w:lvl w:ilvl="4" w:tplc="B5B6A1F8">
      <w:numFmt w:val="bullet"/>
      <w:lvlText w:val="o"/>
      <w:lvlJc w:val="left"/>
      <w:pPr>
        <w:ind w:left="3060" w:firstLine="0"/>
      </w:pPr>
      <w:rPr>
        <w:rFonts w:ascii="Courier New" w:hAnsi="Courier New" w:cs="Courier New"/>
      </w:rPr>
    </w:lvl>
    <w:lvl w:ilvl="5" w:tplc="23ACF428">
      <w:numFmt w:val="bullet"/>
      <w:lvlText w:val=""/>
      <w:lvlJc w:val="left"/>
      <w:pPr>
        <w:ind w:left="3780" w:firstLine="0"/>
      </w:pPr>
      <w:rPr>
        <w:rFonts w:ascii="Wingdings" w:eastAsia="Wingdings" w:hAnsi="Wingdings" w:cs="Wingdings"/>
      </w:rPr>
    </w:lvl>
    <w:lvl w:ilvl="6" w:tplc="652253E8">
      <w:numFmt w:val="bullet"/>
      <w:lvlText w:val=""/>
      <w:lvlJc w:val="left"/>
      <w:pPr>
        <w:ind w:left="4500" w:firstLine="0"/>
      </w:pPr>
      <w:rPr>
        <w:rFonts w:ascii="Symbol" w:hAnsi="Symbol"/>
      </w:rPr>
    </w:lvl>
    <w:lvl w:ilvl="7" w:tplc="71125A32">
      <w:numFmt w:val="bullet"/>
      <w:lvlText w:val="o"/>
      <w:lvlJc w:val="left"/>
      <w:pPr>
        <w:ind w:left="5220" w:firstLine="0"/>
      </w:pPr>
      <w:rPr>
        <w:rFonts w:ascii="Courier New" w:hAnsi="Courier New" w:cs="Courier New"/>
      </w:rPr>
    </w:lvl>
    <w:lvl w:ilvl="8" w:tplc="CBCCEA68">
      <w:numFmt w:val="bullet"/>
      <w:lvlText w:val=""/>
      <w:lvlJc w:val="left"/>
      <w:pPr>
        <w:ind w:left="594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4EF01E40"/>
    <w:multiLevelType w:val="hybridMultilevel"/>
    <w:tmpl w:val="645A3F4A"/>
    <w:lvl w:ilvl="0" w:tplc="844AA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968D6C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F52719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4069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6C4E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8C08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3CAA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8E9B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6802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3"/>
    <w:rsid w:val="00754CD5"/>
    <w:rsid w:val="00C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567B-11E4-4FB3-9A73-0FA84E3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eletvlaszts1">
    <w:name w:val="Feleletválasztós1"/>
    <w:basedOn w:val="Norml"/>
    <w:qFormat/>
    <w:pPr>
      <w:tabs>
        <w:tab w:val="left" w:pos="720"/>
        <w:tab w:val="left" w:pos="2340"/>
        <w:tab w:val="left" w:pos="4320"/>
      </w:tabs>
      <w:spacing w:after="0" w:line="360" w:lineRule="auto"/>
      <w:jc w:val="both"/>
    </w:pPr>
    <w:rPr>
      <w:b/>
      <w:lang w:val="es-ES_tradnl" w:bidi="en-US"/>
    </w:rPr>
  </w:style>
  <w:style w:type="paragraph" w:styleId="lfej">
    <w:name w:val="header"/>
    <w:basedOn w:val="Norm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character" w:customStyle="1" w:styleId="Feleletvlaszts1Char">
    <w:name w:val="Feleletválasztós1 Char"/>
    <w:basedOn w:val="Bekezdsalapbettpusa"/>
    <w:rPr>
      <w:rFonts w:ascii="Calibri" w:hAnsi="Calibri" w:cs="Calibri"/>
      <w:b/>
      <w:lang w:val="es-ES_tradnl" w:bidi="en-US"/>
    </w:rPr>
  </w:style>
  <w:style w:type="character" w:customStyle="1" w:styleId="lfejChar">
    <w:name w:val="Élőfej Char"/>
    <w:basedOn w:val="Bekezdsalapbettpusa"/>
  </w:style>
  <w:style w:type="character" w:customStyle="1" w:styleId="BuborkszvegChar">
    <w:name w:val="Buborékszöveg Char"/>
    <w:basedOn w:val="Bekezdsalapbettpusa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</w:style>
  <w:style w:type="character" w:styleId="Kiemels2">
    <w:name w:val="Strong"/>
    <w:basedOn w:val="Bekezdsalapbettpusa"/>
    <w:rPr>
      <w:b/>
      <w:bCs/>
    </w:rPr>
  </w:style>
  <w:style w:type="character" w:styleId="Kiemels">
    <w:name w:val="Emphasis"/>
    <w:basedOn w:val="Bekezdsalapbettpusa"/>
    <w:rPr>
      <w:i/>
      <w:i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customStyle="1" w:styleId="markedcontent">
    <w:name w:val="markedcontent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8596</Characters>
  <Application>Microsoft Office Word</Application>
  <DocSecurity>0</DocSecurity>
  <Lines>71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Jeney Zsuzsanna</cp:lastModifiedBy>
  <cp:revision>2</cp:revision>
  <dcterms:created xsi:type="dcterms:W3CDTF">2025-02-05T07:17:00Z</dcterms:created>
  <dcterms:modified xsi:type="dcterms:W3CDTF">2025-02-05T07:17:00Z</dcterms:modified>
</cp:coreProperties>
</file>