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520551">
      <w:pPr>
        <w:rPr>
          <w:color w:val="1F497D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345"/>
      </w:tblGrid>
      <w:tr w:rsidR="00A40C2E" w:rsidTr="008E5E3D">
        <w:tc>
          <w:tcPr>
            <w:tcW w:w="9288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a kurzus adatai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címe</w:t>
            </w:r>
          </w:p>
        </w:tc>
        <w:tc>
          <w:tcPr>
            <w:tcW w:w="6345" w:type="dxa"/>
          </w:tcPr>
          <w:p w:rsidR="00A40C2E" w:rsidRPr="00D07090" w:rsidRDefault="00512F46" w:rsidP="00512F46">
            <w:pPr>
              <w:shd w:val="clear" w:color="auto" w:fill="FFFFFF"/>
              <w:jc w:val="left"/>
              <w:outlineLvl w:val="0"/>
              <w:rPr>
                <w:bCs/>
                <w:kern w:val="36"/>
                <w:sz w:val="22"/>
                <w:szCs w:val="22"/>
              </w:rPr>
            </w:pPr>
            <w:r>
              <w:t>Bevezetés a pragmatikába</w:t>
            </w:r>
            <w:r w:rsidR="00D07090">
              <w:t>/</w:t>
            </w:r>
            <w:proofErr w:type="spellStart"/>
            <w:r>
              <w:t>Introducción</w:t>
            </w:r>
            <w:proofErr w:type="spellEnd"/>
            <w:r>
              <w:t xml:space="preserve"> a la </w:t>
            </w:r>
            <w:proofErr w:type="spellStart"/>
            <w:r>
              <w:t>pragmática</w:t>
            </w:r>
            <w:proofErr w:type="spellEnd"/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oktató neve</w:t>
            </w:r>
          </w:p>
        </w:tc>
        <w:tc>
          <w:tcPr>
            <w:tcW w:w="6345" w:type="dxa"/>
          </w:tcPr>
          <w:p w:rsidR="00A40C2E" w:rsidRPr="008E5E3D" w:rsidRDefault="00DA3F45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Berta József Tibor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kódja</w:t>
            </w:r>
          </w:p>
        </w:tc>
        <w:tc>
          <w:tcPr>
            <w:tcW w:w="6345" w:type="dxa"/>
          </w:tcPr>
          <w:p w:rsidR="00A40C2E" w:rsidRPr="008E5E3D" w:rsidRDefault="001F4F4F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1F4F4F">
              <w:rPr>
                <w:color w:val="000000"/>
                <w:szCs w:val="20"/>
                <w:lang w:val="cs-CZ" w:eastAsia="en-US"/>
              </w:rPr>
              <w:t>YSE_BTK011-hisp005</w:t>
            </w:r>
            <w:r w:rsidR="00561DCE">
              <w:rPr>
                <w:color w:val="000000"/>
                <w:szCs w:val="20"/>
                <w:lang w:val="cs-CZ" w:eastAsia="en-US"/>
              </w:rPr>
              <w:t xml:space="preserve"> 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helye</w:t>
            </w:r>
          </w:p>
        </w:tc>
        <w:tc>
          <w:tcPr>
            <w:tcW w:w="6345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bookmarkStart w:id="0" w:name="_GoBack"/>
            <w:bookmarkEnd w:id="0"/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időpontja</w:t>
            </w:r>
          </w:p>
        </w:tc>
        <w:tc>
          <w:tcPr>
            <w:tcW w:w="6345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</w:p>
        </w:tc>
      </w:tr>
      <w:tr w:rsidR="00E34B74" w:rsidRPr="00E34B74" w:rsidTr="008E5E3D">
        <w:tc>
          <w:tcPr>
            <w:tcW w:w="9288" w:type="dxa"/>
            <w:gridSpan w:val="2"/>
            <w:shd w:val="clear" w:color="auto" w:fill="D9D9D9"/>
          </w:tcPr>
          <w:p w:rsidR="00A40C2E" w:rsidRPr="00E34B74" w:rsidRDefault="00A40C2E" w:rsidP="008B09A4">
            <w:pPr>
              <w:spacing w:beforeLines="1" w:before="2" w:afterLines="1" w:after="2"/>
              <w:jc w:val="left"/>
              <w:rPr>
                <w:b/>
                <w:szCs w:val="20"/>
                <w:lang w:val="cs-CZ" w:eastAsia="en-US"/>
              </w:rPr>
            </w:pPr>
            <w:r w:rsidRPr="00E34B74">
              <w:rPr>
                <w:b/>
                <w:szCs w:val="20"/>
                <w:lang w:val="cs-CZ" w:eastAsia="en-US"/>
              </w:rPr>
              <w:t>a kurzus leírása</w:t>
            </w:r>
          </w:p>
        </w:tc>
      </w:tr>
      <w:tr w:rsidR="00E34B74" w:rsidRPr="00E34B74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rövid (300–500 karakteres) szöveges leírás</w:t>
            </w:r>
          </w:p>
        </w:tc>
        <w:tc>
          <w:tcPr>
            <w:tcW w:w="6345" w:type="dxa"/>
          </w:tcPr>
          <w:p w:rsidR="00A40C2E" w:rsidRPr="00512F46" w:rsidRDefault="00512F46" w:rsidP="00512F46">
            <w:pPr>
              <w:pStyle w:val="Szvegtrzs31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El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curso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es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una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introducción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teórica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los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conceptos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fundamentales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pragmática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y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os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campos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colindantes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análisis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conversación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lingüística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texto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así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aplicación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en la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enseñanza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idiomas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Se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repasan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los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temas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seleccionados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que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figuran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en el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temario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con la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ayuda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una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bibliografía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seleccionada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y un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material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auxiliar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temario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aumentado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)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localizable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en la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carpeta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Documentos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en </w:t>
            </w:r>
            <w:proofErr w:type="spellStart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CooSpace</w:t>
            </w:r>
            <w:proofErr w:type="spellEnd"/>
            <w:r w:rsidRPr="00512F4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34B74" w:rsidRPr="00E34B74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részletes (hetekre bontott) tematika</w:t>
            </w:r>
          </w:p>
        </w:tc>
        <w:tc>
          <w:tcPr>
            <w:tcW w:w="6345" w:type="dxa"/>
          </w:tcPr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1. La </w:t>
            </w:r>
            <w:proofErr w:type="spellStart"/>
            <w:r w:rsidRPr="00C96288">
              <w:rPr>
                <w:sz w:val="22"/>
                <w:szCs w:val="22"/>
              </w:rPr>
              <w:t>pragmática</w:t>
            </w:r>
            <w:proofErr w:type="spellEnd"/>
            <w:r w:rsidRPr="00C96288">
              <w:rPr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sz w:val="22"/>
                <w:szCs w:val="22"/>
              </w:rPr>
              <w:t>su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situación</w:t>
            </w:r>
            <w:proofErr w:type="spellEnd"/>
            <w:r w:rsidRPr="00C96288">
              <w:rPr>
                <w:sz w:val="22"/>
                <w:szCs w:val="22"/>
              </w:rPr>
              <w:t xml:space="preserve"> en la </w:t>
            </w:r>
            <w:proofErr w:type="spellStart"/>
            <w:r w:rsidRPr="00C96288">
              <w:rPr>
                <w:sz w:val="22"/>
                <w:szCs w:val="22"/>
              </w:rPr>
              <w:t>lingüística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2. </w:t>
            </w:r>
            <w:proofErr w:type="spellStart"/>
            <w:r w:rsidRPr="00C96288">
              <w:rPr>
                <w:sz w:val="22"/>
                <w:szCs w:val="22"/>
              </w:rPr>
              <w:t>Conceptos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básicos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pragmática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3. John Austin y la </w:t>
            </w:r>
            <w:proofErr w:type="spellStart"/>
            <w:r w:rsidRPr="00C96288">
              <w:rPr>
                <w:sz w:val="22"/>
                <w:szCs w:val="22"/>
              </w:rPr>
              <w:t>teoría</w:t>
            </w:r>
            <w:proofErr w:type="spellEnd"/>
            <w:r w:rsidRPr="00C96288">
              <w:rPr>
                <w:sz w:val="22"/>
                <w:szCs w:val="22"/>
              </w:rPr>
              <w:t xml:space="preserve"> del </w:t>
            </w:r>
            <w:proofErr w:type="spellStart"/>
            <w:r w:rsidRPr="00C96288">
              <w:rPr>
                <w:sz w:val="22"/>
                <w:szCs w:val="22"/>
              </w:rPr>
              <w:t>acto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habla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4. John </w:t>
            </w:r>
            <w:proofErr w:type="spellStart"/>
            <w:r w:rsidRPr="00C96288">
              <w:rPr>
                <w:sz w:val="22"/>
                <w:szCs w:val="22"/>
              </w:rPr>
              <w:t>Searle</w:t>
            </w:r>
            <w:proofErr w:type="spellEnd"/>
            <w:r w:rsidRPr="00C96288">
              <w:rPr>
                <w:sz w:val="22"/>
                <w:szCs w:val="22"/>
              </w:rPr>
              <w:t xml:space="preserve"> y la </w:t>
            </w:r>
            <w:proofErr w:type="spellStart"/>
            <w:r w:rsidRPr="00C96288">
              <w:rPr>
                <w:sz w:val="22"/>
                <w:szCs w:val="22"/>
              </w:rPr>
              <w:t>teoría</w:t>
            </w:r>
            <w:proofErr w:type="spellEnd"/>
            <w:r w:rsidRPr="00C96288">
              <w:rPr>
                <w:sz w:val="22"/>
                <w:szCs w:val="22"/>
              </w:rPr>
              <w:t xml:space="preserve"> del </w:t>
            </w:r>
            <w:proofErr w:type="spellStart"/>
            <w:r w:rsidRPr="00C96288">
              <w:rPr>
                <w:sz w:val="22"/>
                <w:szCs w:val="22"/>
              </w:rPr>
              <w:t>acto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habla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5. El </w:t>
            </w:r>
            <w:proofErr w:type="spellStart"/>
            <w:r w:rsidRPr="00C96288">
              <w:rPr>
                <w:sz w:val="22"/>
                <w:szCs w:val="22"/>
              </w:rPr>
              <w:t>principio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colaboración</w:t>
            </w:r>
            <w:proofErr w:type="spellEnd"/>
            <w:r w:rsidRPr="00C96288">
              <w:rPr>
                <w:sz w:val="22"/>
                <w:szCs w:val="22"/>
              </w:rPr>
              <w:t xml:space="preserve"> y las </w:t>
            </w:r>
            <w:proofErr w:type="spellStart"/>
            <w:r w:rsidRPr="00C96288">
              <w:rPr>
                <w:sz w:val="22"/>
                <w:szCs w:val="22"/>
              </w:rPr>
              <w:t>máximas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conversacionales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Grice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6. El </w:t>
            </w:r>
            <w:proofErr w:type="spellStart"/>
            <w:r w:rsidRPr="00C96288">
              <w:rPr>
                <w:sz w:val="22"/>
                <w:szCs w:val="22"/>
              </w:rPr>
              <w:t>análisis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gramatical</w:t>
            </w:r>
            <w:proofErr w:type="spellEnd"/>
            <w:r w:rsidRPr="00C96288">
              <w:rPr>
                <w:sz w:val="22"/>
                <w:szCs w:val="22"/>
              </w:rPr>
              <w:t xml:space="preserve"> y el </w:t>
            </w:r>
            <w:proofErr w:type="spellStart"/>
            <w:r w:rsidRPr="00C96288">
              <w:rPr>
                <w:sz w:val="22"/>
                <w:szCs w:val="22"/>
              </w:rPr>
              <w:t>análisis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pragmático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7. </w:t>
            </w:r>
            <w:proofErr w:type="spellStart"/>
            <w:r w:rsidRPr="00C96288">
              <w:rPr>
                <w:sz w:val="22"/>
                <w:szCs w:val="22"/>
              </w:rPr>
              <w:t>Introducción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al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análisis</w:t>
            </w:r>
            <w:proofErr w:type="spellEnd"/>
            <w:r w:rsidRPr="00C96288">
              <w:rPr>
                <w:sz w:val="22"/>
                <w:szCs w:val="22"/>
              </w:rPr>
              <w:t xml:space="preserve"> de la </w:t>
            </w:r>
            <w:proofErr w:type="spellStart"/>
            <w:r w:rsidRPr="00C96288">
              <w:rPr>
                <w:sz w:val="22"/>
                <w:szCs w:val="22"/>
              </w:rPr>
              <w:t>conversación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8. </w:t>
            </w:r>
            <w:proofErr w:type="spellStart"/>
            <w:r w:rsidRPr="00C96288">
              <w:rPr>
                <w:sz w:val="22"/>
                <w:szCs w:val="22"/>
              </w:rPr>
              <w:t>Cuestiones</w:t>
            </w:r>
            <w:proofErr w:type="spellEnd"/>
            <w:r w:rsidRPr="00C96288">
              <w:rPr>
                <w:sz w:val="22"/>
                <w:szCs w:val="22"/>
              </w:rPr>
              <w:t xml:space="preserve"> del </w:t>
            </w:r>
            <w:proofErr w:type="spellStart"/>
            <w:r w:rsidRPr="00C96288">
              <w:rPr>
                <w:sz w:val="22"/>
                <w:szCs w:val="22"/>
              </w:rPr>
              <w:t>éxito</w:t>
            </w:r>
            <w:proofErr w:type="spellEnd"/>
            <w:r w:rsidRPr="00C96288">
              <w:rPr>
                <w:sz w:val="22"/>
                <w:szCs w:val="22"/>
              </w:rPr>
              <w:t xml:space="preserve"> y del </w:t>
            </w:r>
            <w:proofErr w:type="spellStart"/>
            <w:r w:rsidRPr="00C96288">
              <w:rPr>
                <w:sz w:val="22"/>
                <w:szCs w:val="22"/>
              </w:rPr>
              <w:t>fracaso</w:t>
            </w:r>
            <w:proofErr w:type="spellEnd"/>
            <w:r w:rsidRPr="00C96288">
              <w:rPr>
                <w:sz w:val="22"/>
                <w:szCs w:val="22"/>
              </w:rPr>
              <w:t xml:space="preserve"> de la </w:t>
            </w:r>
            <w:proofErr w:type="spellStart"/>
            <w:r w:rsidRPr="00C96288">
              <w:rPr>
                <w:sz w:val="22"/>
                <w:szCs w:val="22"/>
              </w:rPr>
              <w:t>conversación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9. El </w:t>
            </w:r>
            <w:proofErr w:type="spellStart"/>
            <w:r w:rsidRPr="00C96288">
              <w:rPr>
                <w:sz w:val="22"/>
                <w:szCs w:val="22"/>
              </w:rPr>
              <w:t>estudio</w:t>
            </w:r>
            <w:proofErr w:type="spellEnd"/>
            <w:r w:rsidRPr="00C96288">
              <w:rPr>
                <w:sz w:val="22"/>
                <w:szCs w:val="22"/>
              </w:rPr>
              <w:t xml:space="preserve"> de la </w:t>
            </w:r>
            <w:proofErr w:type="spellStart"/>
            <w:r w:rsidRPr="00C96288">
              <w:rPr>
                <w:sz w:val="22"/>
                <w:szCs w:val="22"/>
              </w:rPr>
              <w:t>cortesía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10. Los </w:t>
            </w:r>
            <w:proofErr w:type="spellStart"/>
            <w:r w:rsidRPr="00C96288">
              <w:rPr>
                <w:sz w:val="22"/>
                <w:szCs w:val="22"/>
              </w:rPr>
              <w:t>actos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disentivos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11. La </w:t>
            </w:r>
            <w:proofErr w:type="spellStart"/>
            <w:r w:rsidRPr="00C96288">
              <w:rPr>
                <w:sz w:val="22"/>
                <w:szCs w:val="22"/>
              </w:rPr>
              <w:t>lingüística</w:t>
            </w:r>
            <w:proofErr w:type="spellEnd"/>
            <w:r w:rsidRPr="00C96288">
              <w:rPr>
                <w:sz w:val="22"/>
                <w:szCs w:val="22"/>
              </w:rPr>
              <w:t xml:space="preserve"> del </w:t>
            </w:r>
            <w:proofErr w:type="spellStart"/>
            <w:r w:rsidRPr="00C96288">
              <w:rPr>
                <w:sz w:val="22"/>
                <w:szCs w:val="22"/>
              </w:rPr>
              <w:t>texto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12. El </w:t>
            </w:r>
            <w:proofErr w:type="spellStart"/>
            <w:r w:rsidRPr="00C96288">
              <w:rPr>
                <w:sz w:val="22"/>
                <w:szCs w:val="22"/>
              </w:rPr>
              <w:t>análisis</w:t>
            </w:r>
            <w:proofErr w:type="spellEnd"/>
            <w:r w:rsidRPr="00C96288">
              <w:rPr>
                <w:sz w:val="22"/>
                <w:szCs w:val="22"/>
              </w:rPr>
              <w:t xml:space="preserve"> de la </w:t>
            </w:r>
            <w:proofErr w:type="spellStart"/>
            <w:r w:rsidRPr="00C96288">
              <w:rPr>
                <w:sz w:val="22"/>
                <w:szCs w:val="22"/>
              </w:rPr>
              <w:t>conversación</w:t>
            </w:r>
            <w:proofErr w:type="spellEnd"/>
            <w:r w:rsidRPr="00C96288">
              <w:rPr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sz w:val="22"/>
                <w:szCs w:val="22"/>
              </w:rPr>
              <w:t>los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diálogos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los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libros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enseñanza</w:t>
            </w:r>
            <w:proofErr w:type="spellEnd"/>
            <w:r w:rsidRPr="00C96288">
              <w:rPr>
                <w:sz w:val="22"/>
                <w:szCs w:val="22"/>
              </w:rPr>
              <w:t xml:space="preserve"> del </w:t>
            </w:r>
            <w:proofErr w:type="spellStart"/>
            <w:r w:rsidRPr="00C96288">
              <w:rPr>
                <w:sz w:val="22"/>
                <w:szCs w:val="22"/>
              </w:rPr>
              <w:t>español</w:t>
            </w:r>
            <w:proofErr w:type="spellEnd"/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13. Los </w:t>
            </w:r>
            <w:proofErr w:type="spellStart"/>
            <w:r w:rsidRPr="00C96288">
              <w:rPr>
                <w:sz w:val="22"/>
                <w:szCs w:val="22"/>
              </w:rPr>
              <w:t>malentendidos</w:t>
            </w:r>
            <w:proofErr w:type="spellEnd"/>
            <w:r w:rsidRPr="00C96288">
              <w:rPr>
                <w:sz w:val="22"/>
                <w:szCs w:val="22"/>
              </w:rPr>
              <w:t xml:space="preserve">. La </w:t>
            </w:r>
            <w:proofErr w:type="spellStart"/>
            <w:r w:rsidRPr="00C96288">
              <w:rPr>
                <w:sz w:val="22"/>
                <w:szCs w:val="22"/>
              </w:rPr>
              <w:t>inadecuación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pragmática</w:t>
            </w:r>
            <w:proofErr w:type="spellEnd"/>
            <w:r w:rsidRPr="00C96288">
              <w:rPr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sz w:val="22"/>
                <w:szCs w:val="22"/>
              </w:rPr>
              <w:t>sociocultural</w:t>
            </w:r>
            <w:proofErr w:type="spellEnd"/>
          </w:p>
          <w:p w:rsidR="00A40C2E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94949"/>
                <w:sz w:val="23"/>
                <w:szCs w:val="23"/>
              </w:rPr>
            </w:pPr>
            <w:r w:rsidRPr="00C96288">
              <w:rPr>
                <w:sz w:val="22"/>
                <w:szCs w:val="22"/>
              </w:rPr>
              <w:t xml:space="preserve">14. El </w:t>
            </w:r>
            <w:proofErr w:type="spellStart"/>
            <w:r w:rsidRPr="00C96288">
              <w:rPr>
                <w:sz w:val="22"/>
                <w:szCs w:val="22"/>
              </w:rPr>
              <w:t>análisis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pragmático</w:t>
            </w:r>
            <w:proofErr w:type="spellEnd"/>
            <w:r w:rsidRPr="00C96288">
              <w:rPr>
                <w:sz w:val="22"/>
                <w:szCs w:val="22"/>
              </w:rPr>
              <w:t xml:space="preserve"> en la </w:t>
            </w:r>
            <w:proofErr w:type="spellStart"/>
            <w:r w:rsidRPr="00C96288">
              <w:rPr>
                <w:sz w:val="22"/>
                <w:szCs w:val="22"/>
              </w:rPr>
              <w:t>enseñanza</w:t>
            </w:r>
            <w:proofErr w:type="spellEnd"/>
            <w:r w:rsidRPr="00C96288">
              <w:rPr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sz w:val="22"/>
                <w:szCs w:val="22"/>
              </w:rPr>
              <w:t>evaluación</w:t>
            </w:r>
            <w:proofErr w:type="spellEnd"/>
            <w:r w:rsidRPr="00C96288">
              <w:rPr>
                <w:sz w:val="22"/>
                <w:szCs w:val="22"/>
              </w:rPr>
              <w:t xml:space="preserve"> de la </w:t>
            </w:r>
            <w:proofErr w:type="spellStart"/>
            <w:r w:rsidRPr="00C96288">
              <w:rPr>
                <w:sz w:val="22"/>
                <w:szCs w:val="22"/>
              </w:rPr>
              <w:t>expresión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escrita</w:t>
            </w:r>
            <w:proofErr w:type="spellEnd"/>
          </w:p>
        </w:tc>
      </w:tr>
      <w:tr w:rsidR="00E34B74" w:rsidRPr="00E34B74" w:rsidTr="008E5E3D">
        <w:tc>
          <w:tcPr>
            <w:tcW w:w="9288" w:type="dxa"/>
            <w:gridSpan w:val="2"/>
            <w:shd w:val="clear" w:color="auto" w:fill="D9D9D9"/>
          </w:tcPr>
          <w:p w:rsidR="00A40C2E" w:rsidRPr="00E34B74" w:rsidRDefault="00A40C2E" w:rsidP="008B09A4">
            <w:pPr>
              <w:spacing w:beforeLines="1" w:before="2" w:afterLines="1" w:after="2"/>
              <w:jc w:val="left"/>
              <w:rPr>
                <w:b/>
                <w:szCs w:val="20"/>
                <w:lang w:val="cs-CZ" w:eastAsia="en-US"/>
              </w:rPr>
            </w:pPr>
            <w:r w:rsidRPr="00E34B74">
              <w:rPr>
                <w:b/>
                <w:szCs w:val="20"/>
                <w:lang w:val="cs-CZ" w:eastAsia="en-US"/>
              </w:rPr>
              <w:t>követelmények</w:t>
            </w:r>
          </w:p>
        </w:tc>
      </w:tr>
      <w:tr w:rsidR="00C16B05" w:rsidRPr="00C16B05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jegy</w:t>
            </w:r>
            <w:r>
              <w:rPr>
                <w:color w:val="000000"/>
                <w:szCs w:val="20"/>
                <w:lang w:val="cs-CZ" w:eastAsia="en-US"/>
              </w:rPr>
              <w:t>/aláírás</w:t>
            </w:r>
            <w:r w:rsidRPr="008E5E3D">
              <w:rPr>
                <w:color w:val="000000"/>
                <w:szCs w:val="20"/>
                <w:lang w:val="cs-CZ" w:eastAsia="en-US"/>
              </w:rPr>
              <w:t xml:space="preserve"> megszerzésének f</w:t>
            </w:r>
            <w:r>
              <w:rPr>
                <w:color w:val="000000"/>
                <w:szCs w:val="20"/>
                <w:lang w:val="cs-CZ" w:eastAsia="en-US"/>
              </w:rPr>
              <w:t>e</w:t>
            </w:r>
            <w:r w:rsidRPr="008E5E3D">
              <w:rPr>
                <w:color w:val="000000"/>
                <w:szCs w:val="20"/>
                <w:lang w:val="cs-CZ" w:eastAsia="en-US"/>
              </w:rPr>
              <w:t>ltétele és módja</w:t>
            </w:r>
          </w:p>
        </w:tc>
        <w:tc>
          <w:tcPr>
            <w:tcW w:w="6345" w:type="dxa"/>
          </w:tcPr>
          <w:p w:rsidR="00C16B05" w:rsidRPr="00C16B05" w:rsidRDefault="00C96288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96288">
              <w:rPr>
                <w:sz w:val="22"/>
                <w:szCs w:val="22"/>
                <w:shd w:val="clear" w:color="auto" w:fill="FFFFFF"/>
                <w:lang w:val="cs-CZ"/>
              </w:rPr>
              <w:t>L</w:t>
            </w:r>
            <w:r w:rsidRPr="00C96288">
              <w:rPr>
                <w:sz w:val="22"/>
                <w:szCs w:val="22"/>
                <w:shd w:val="clear" w:color="auto" w:fill="FFFFFF"/>
              </w:rPr>
              <w:t xml:space="preserve">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asistencia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es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obligatoria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, se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permiten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seis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ausencias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durante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el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príodo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clases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. El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curso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es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teórico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, la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evaluación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se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realiza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en un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examen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oral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. En la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evaluación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se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tienen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en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cuenta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el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conocimiento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los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conceptos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y la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aplicación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los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términos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técnicos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que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pertenecen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los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temas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que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figuran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en el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temario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, el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conocimiento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bibliografía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obligatoria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y la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estructura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, el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contenido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y la forma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lingüística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exposición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. Se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exige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que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en la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elaboración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cada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uno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los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temas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se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integren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las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aportaciones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de las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clases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impartitas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por </w:t>
            </w:r>
            <w:proofErr w:type="spellStart"/>
            <w:r w:rsidRPr="00C96288">
              <w:rPr>
                <w:sz w:val="22"/>
                <w:szCs w:val="22"/>
                <w:shd w:val="clear" w:color="auto" w:fill="FFFFFF"/>
              </w:rPr>
              <w:t>profesorado</w:t>
            </w:r>
            <w:proofErr w:type="spellEnd"/>
            <w:r w:rsidRPr="00C962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288">
              <w:rPr>
                <w:sz w:val="23"/>
                <w:szCs w:val="23"/>
                <w:shd w:val="clear" w:color="auto" w:fill="FFFFFF"/>
              </w:rPr>
              <w:t>visitante</w:t>
            </w:r>
            <w:proofErr w:type="spellEnd"/>
            <w:r w:rsidRPr="00C96288">
              <w:rPr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lastRenderedPageBreak/>
              <w:t>kötelező olvasmányok (ha vannak)</w:t>
            </w:r>
          </w:p>
        </w:tc>
        <w:tc>
          <w:tcPr>
            <w:tcW w:w="6345" w:type="dxa"/>
          </w:tcPr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Briz</w:t>
            </w:r>
            <w:proofErr w:type="spellEnd"/>
            <w:r w:rsidRPr="00C96288">
              <w:rPr>
                <w:sz w:val="22"/>
                <w:szCs w:val="22"/>
              </w:rPr>
              <w:t xml:space="preserve">, Antonio (2002-2004): “La </w:t>
            </w:r>
            <w:proofErr w:type="spellStart"/>
            <w:r w:rsidRPr="00C96288">
              <w:rPr>
                <w:sz w:val="22"/>
                <w:szCs w:val="22"/>
              </w:rPr>
              <w:t>estructura</w:t>
            </w:r>
            <w:proofErr w:type="spellEnd"/>
            <w:r w:rsidRPr="00C96288">
              <w:rPr>
                <w:sz w:val="22"/>
                <w:szCs w:val="22"/>
              </w:rPr>
              <w:t xml:space="preserve"> de la </w:t>
            </w:r>
            <w:proofErr w:type="spellStart"/>
            <w:r w:rsidRPr="00C96288">
              <w:rPr>
                <w:sz w:val="22"/>
                <w:szCs w:val="22"/>
              </w:rPr>
              <w:t>conversación</w:t>
            </w:r>
            <w:proofErr w:type="spellEnd"/>
            <w:r w:rsidRPr="00C96288">
              <w:rPr>
                <w:sz w:val="22"/>
                <w:szCs w:val="22"/>
              </w:rPr>
              <w:t xml:space="preserve">. </w:t>
            </w:r>
            <w:proofErr w:type="spellStart"/>
            <w:r w:rsidRPr="00C96288">
              <w:rPr>
                <w:sz w:val="22"/>
                <w:szCs w:val="22"/>
              </w:rPr>
              <w:t>Orden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externo</w:t>
            </w:r>
            <w:proofErr w:type="spellEnd"/>
            <w:r w:rsidRPr="00C96288">
              <w:rPr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sz w:val="22"/>
                <w:szCs w:val="22"/>
              </w:rPr>
              <w:t>orden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interno</w:t>
            </w:r>
            <w:proofErr w:type="spellEnd"/>
            <w:r w:rsidRPr="00C96288">
              <w:rPr>
                <w:sz w:val="22"/>
                <w:szCs w:val="22"/>
              </w:rPr>
              <w:t>”,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Archivo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Filología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Aragonesa</w:t>
            </w:r>
            <w:proofErr w:type="spellEnd"/>
            <w:r w:rsidRPr="00C96288">
              <w:rPr>
                <w:sz w:val="22"/>
                <w:szCs w:val="22"/>
              </w:rPr>
              <w:t>, LIX-LX, 265-280.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Briz</w:t>
            </w:r>
            <w:proofErr w:type="spellEnd"/>
            <w:r w:rsidRPr="00C96288">
              <w:rPr>
                <w:sz w:val="22"/>
                <w:szCs w:val="22"/>
              </w:rPr>
              <w:t>, Antonio (2000): “</w:t>
            </w:r>
            <w:proofErr w:type="spellStart"/>
            <w:r w:rsidRPr="00C96288">
              <w:rPr>
                <w:sz w:val="22"/>
                <w:szCs w:val="22"/>
              </w:rPr>
              <w:t>Turno</w:t>
            </w:r>
            <w:proofErr w:type="spellEnd"/>
            <w:r w:rsidRPr="00C96288">
              <w:rPr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sz w:val="22"/>
                <w:szCs w:val="22"/>
              </w:rPr>
              <w:t>alternancia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turno</w:t>
            </w:r>
            <w:proofErr w:type="spellEnd"/>
            <w:r w:rsidRPr="00C96288">
              <w:rPr>
                <w:sz w:val="22"/>
                <w:szCs w:val="22"/>
              </w:rPr>
              <w:t xml:space="preserve"> en la </w:t>
            </w:r>
            <w:proofErr w:type="spellStart"/>
            <w:r w:rsidRPr="00C96288">
              <w:rPr>
                <w:sz w:val="22"/>
                <w:szCs w:val="22"/>
              </w:rPr>
              <w:t>conversación</w:t>
            </w:r>
            <w:proofErr w:type="spellEnd"/>
            <w:r w:rsidRPr="00C96288">
              <w:rPr>
                <w:sz w:val="22"/>
                <w:szCs w:val="22"/>
              </w:rPr>
              <w:t>”,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Revista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Argentina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Lingüística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>,</w:t>
            </w:r>
            <w:r w:rsidRPr="00C96288">
              <w:rPr>
                <w:sz w:val="22"/>
                <w:szCs w:val="22"/>
              </w:rPr>
              <w:t> 16, 9-32.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Bobes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Naves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María</w:t>
            </w:r>
            <w:proofErr w:type="spellEnd"/>
            <w:r w:rsidRPr="00C96288">
              <w:rPr>
                <w:sz w:val="22"/>
                <w:szCs w:val="22"/>
              </w:rPr>
              <w:t xml:space="preserve"> del Carmen (1992): </w:t>
            </w:r>
            <w:r w:rsidRPr="00C96288">
              <w:rPr>
                <w:i/>
                <w:iCs/>
                <w:sz w:val="22"/>
                <w:szCs w:val="22"/>
              </w:rPr>
              <w:t xml:space="preserve">El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diálogo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Estudio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pragmático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lingüístico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literario</w:t>
            </w:r>
            <w:proofErr w:type="spellEnd"/>
            <w:r w:rsidRPr="00C96288">
              <w:rPr>
                <w:sz w:val="22"/>
                <w:szCs w:val="22"/>
              </w:rPr>
              <w:t xml:space="preserve">, Madrid, </w:t>
            </w:r>
            <w:proofErr w:type="spellStart"/>
            <w:r w:rsidRPr="00C96288">
              <w:rPr>
                <w:sz w:val="22"/>
                <w:szCs w:val="22"/>
              </w:rPr>
              <w:t>Gredos</w:t>
            </w:r>
            <w:proofErr w:type="spellEnd"/>
            <w:r w:rsidRPr="00C96288">
              <w:rPr>
                <w:sz w:val="22"/>
                <w:szCs w:val="22"/>
              </w:rPr>
              <w:t>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Esca</w:t>
            </w:r>
            <w:r>
              <w:rPr>
                <w:sz w:val="22"/>
                <w:szCs w:val="22"/>
              </w:rPr>
              <w:t>n</w:t>
            </w:r>
            <w:r w:rsidRPr="00C96288">
              <w:rPr>
                <w:sz w:val="22"/>
                <w:szCs w:val="22"/>
              </w:rPr>
              <w:t>dell</w:t>
            </w:r>
            <w:proofErr w:type="spellEnd"/>
            <w:r w:rsidRPr="00C96288">
              <w:rPr>
                <w:sz w:val="22"/>
                <w:szCs w:val="22"/>
              </w:rPr>
              <w:t xml:space="preserve"> Vidal, M. Victoria (1996):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Introducción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a la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pragmática</w:t>
            </w:r>
            <w:proofErr w:type="spellEnd"/>
            <w:r w:rsidRPr="00C96288">
              <w:rPr>
                <w:sz w:val="22"/>
                <w:szCs w:val="22"/>
              </w:rPr>
              <w:t>, Barcelona, Ariel.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Esca</w:t>
            </w:r>
            <w:r>
              <w:rPr>
                <w:sz w:val="22"/>
                <w:szCs w:val="22"/>
              </w:rPr>
              <w:t>n</w:t>
            </w:r>
            <w:r w:rsidRPr="00C96288">
              <w:rPr>
                <w:sz w:val="22"/>
                <w:szCs w:val="22"/>
              </w:rPr>
              <w:t>dell</w:t>
            </w:r>
            <w:proofErr w:type="spellEnd"/>
            <w:r w:rsidRPr="00C96288">
              <w:rPr>
                <w:sz w:val="22"/>
                <w:szCs w:val="22"/>
              </w:rPr>
              <w:t xml:space="preserve"> Vidal, M. Victoria (1995): “</w:t>
            </w:r>
            <w:proofErr w:type="spellStart"/>
            <w:r w:rsidRPr="00C96288">
              <w:rPr>
                <w:sz w:val="22"/>
                <w:szCs w:val="22"/>
              </w:rPr>
              <w:t>Cortesía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fórmulas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convencionales</w:t>
            </w:r>
            <w:proofErr w:type="spellEnd"/>
            <w:r w:rsidRPr="00C96288">
              <w:rPr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sz w:val="22"/>
                <w:szCs w:val="22"/>
              </w:rPr>
              <w:t>estrategias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indirectas</w:t>
            </w:r>
            <w:proofErr w:type="spellEnd"/>
            <w:r w:rsidRPr="00C96288">
              <w:rPr>
                <w:sz w:val="22"/>
                <w:szCs w:val="22"/>
              </w:rPr>
              <w:t>”,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Revista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Lingüística</w:t>
            </w:r>
            <w:proofErr w:type="spellEnd"/>
            <w:r w:rsidRPr="00C96288">
              <w:rPr>
                <w:sz w:val="22"/>
                <w:szCs w:val="22"/>
              </w:rPr>
              <w:t>, 25/1, 31-66.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Frías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Conde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Xavier</w:t>
            </w:r>
            <w:proofErr w:type="spellEnd"/>
            <w:r w:rsidRPr="00C96288">
              <w:rPr>
                <w:sz w:val="22"/>
                <w:szCs w:val="22"/>
              </w:rPr>
              <w:t xml:space="preserve"> (2001): </w:t>
            </w:r>
            <w:proofErr w:type="spellStart"/>
            <w:r w:rsidRPr="00C96288">
              <w:rPr>
                <w:sz w:val="22"/>
                <w:szCs w:val="22"/>
              </w:rPr>
              <w:t>Introducción</w:t>
            </w:r>
            <w:proofErr w:type="spellEnd"/>
            <w:r w:rsidRPr="00C96288">
              <w:rPr>
                <w:sz w:val="22"/>
                <w:szCs w:val="22"/>
              </w:rPr>
              <w:t xml:space="preserve"> a la </w:t>
            </w:r>
            <w:proofErr w:type="spellStart"/>
            <w:r w:rsidRPr="00C96288">
              <w:rPr>
                <w:sz w:val="22"/>
                <w:szCs w:val="22"/>
              </w:rPr>
              <w:t>pragmática</w:t>
            </w:r>
            <w:proofErr w:type="spellEnd"/>
            <w:r w:rsidRPr="00C96288">
              <w:rPr>
                <w:sz w:val="22"/>
                <w:szCs w:val="22"/>
              </w:rPr>
              <w:t>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Ianua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>.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Revista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Philologica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Romaica</w:t>
            </w:r>
            <w:proofErr w:type="spellEnd"/>
            <w:r w:rsidRPr="00C96288">
              <w:rPr>
                <w:sz w:val="22"/>
                <w:szCs w:val="22"/>
              </w:rPr>
              <w:t xml:space="preserve">. </w:t>
            </w:r>
            <w:proofErr w:type="spellStart"/>
            <w:r w:rsidRPr="00C96288">
              <w:rPr>
                <w:sz w:val="22"/>
                <w:szCs w:val="22"/>
              </w:rPr>
              <w:t>Accesible</w:t>
            </w:r>
            <w:proofErr w:type="spellEnd"/>
            <w:r w:rsidRPr="00C96288">
              <w:rPr>
                <w:sz w:val="22"/>
                <w:szCs w:val="22"/>
              </w:rPr>
              <w:t xml:space="preserve"> en: </w:t>
            </w:r>
            <w:hyperlink r:id="rId7" w:tgtFrame="_blank" w:history="1">
              <w:r w:rsidRPr="00C96288">
                <w:rPr>
                  <w:rStyle w:val="Hiperhivatkozs"/>
                  <w:color w:val="auto"/>
                  <w:sz w:val="22"/>
                  <w:szCs w:val="22"/>
                </w:rPr>
                <w:t>http://www.romaniaminor.net/ianua/sup/sup05.pdf</w:t>
              </w:r>
            </w:hyperlink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Galindo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Merino</w:t>
            </w:r>
            <w:proofErr w:type="spellEnd"/>
            <w:r w:rsidRPr="00C96288">
              <w:rPr>
                <w:sz w:val="22"/>
                <w:szCs w:val="22"/>
              </w:rPr>
              <w:t xml:space="preserve">, Mar (2005): “La </w:t>
            </w:r>
            <w:proofErr w:type="spellStart"/>
            <w:r w:rsidRPr="00C96288">
              <w:rPr>
                <w:sz w:val="22"/>
                <w:szCs w:val="22"/>
              </w:rPr>
              <w:t>importancia</w:t>
            </w:r>
            <w:proofErr w:type="spellEnd"/>
            <w:r w:rsidRPr="00C96288">
              <w:rPr>
                <w:sz w:val="22"/>
                <w:szCs w:val="22"/>
              </w:rPr>
              <w:t xml:space="preserve"> de la </w:t>
            </w:r>
            <w:proofErr w:type="spellStart"/>
            <w:r w:rsidRPr="00C96288">
              <w:rPr>
                <w:sz w:val="22"/>
                <w:szCs w:val="22"/>
              </w:rPr>
              <w:t>competencia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sociocultural</w:t>
            </w:r>
            <w:proofErr w:type="spellEnd"/>
            <w:r w:rsidRPr="00C96288">
              <w:rPr>
                <w:sz w:val="22"/>
                <w:szCs w:val="22"/>
              </w:rPr>
              <w:t xml:space="preserve"> en el </w:t>
            </w:r>
            <w:proofErr w:type="spellStart"/>
            <w:r w:rsidRPr="00C96288">
              <w:rPr>
                <w:sz w:val="22"/>
                <w:szCs w:val="22"/>
              </w:rPr>
              <w:t>aprendizaje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segundas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lenguas</w:t>
            </w:r>
            <w:proofErr w:type="spellEnd"/>
            <w:r w:rsidRPr="00C96288">
              <w:rPr>
                <w:sz w:val="22"/>
                <w:szCs w:val="22"/>
              </w:rPr>
              <w:t>”,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Interlingüística</w:t>
            </w:r>
            <w:proofErr w:type="spellEnd"/>
            <w:r w:rsidRPr="00C96288">
              <w:rPr>
                <w:sz w:val="22"/>
                <w:szCs w:val="22"/>
              </w:rPr>
              <w:t>. 16 (1), 431-441.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Herrero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Moreno</w:t>
            </w:r>
            <w:proofErr w:type="spellEnd"/>
            <w:r w:rsidRPr="00C96288">
              <w:rPr>
                <w:sz w:val="22"/>
                <w:szCs w:val="22"/>
              </w:rPr>
              <w:t xml:space="preserve">, Gemma (2002), Los </w:t>
            </w:r>
            <w:proofErr w:type="spellStart"/>
            <w:r w:rsidRPr="00C96288">
              <w:rPr>
                <w:sz w:val="22"/>
                <w:szCs w:val="22"/>
              </w:rPr>
              <w:t>actos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disentivos</w:t>
            </w:r>
            <w:proofErr w:type="spellEnd"/>
            <w:r w:rsidRPr="00C96288">
              <w:rPr>
                <w:sz w:val="22"/>
                <w:szCs w:val="22"/>
              </w:rPr>
              <w:t>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Verba</w:t>
            </w:r>
            <w:proofErr w:type="spellEnd"/>
            <w:r w:rsidRPr="00C96288">
              <w:rPr>
                <w:sz w:val="22"/>
                <w:szCs w:val="22"/>
              </w:rPr>
              <w:t>, 29, 221-242.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Loureda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Lamas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Óscar</w:t>
            </w:r>
            <w:proofErr w:type="spellEnd"/>
            <w:r w:rsidRPr="00C96288">
              <w:rPr>
                <w:sz w:val="22"/>
                <w:szCs w:val="22"/>
              </w:rPr>
              <w:t xml:space="preserve"> (2003):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Introducción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a la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tipología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textual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>,</w:t>
            </w:r>
            <w:r w:rsidRPr="00C96288">
              <w:rPr>
                <w:sz w:val="22"/>
                <w:szCs w:val="22"/>
              </w:rPr>
              <w:t xml:space="preserve"> Madrid, </w:t>
            </w:r>
            <w:proofErr w:type="spellStart"/>
            <w:r w:rsidRPr="00C96288">
              <w:rPr>
                <w:sz w:val="22"/>
                <w:szCs w:val="22"/>
              </w:rPr>
              <w:t>Arco</w:t>
            </w:r>
            <w:proofErr w:type="spellEnd"/>
            <w:r w:rsidRPr="00C96288">
              <w:rPr>
                <w:sz w:val="22"/>
                <w:szCs w:val="22"/>
              </w:rPr>
              <w:t>/</w:t>
            </w:r>
            <w:proofErr w:type="spellStart"/>
            <w:r w:rsidRPr="00C96288">
              <w:rPr>
                <w:sz w:val="22"/>
                <w:szCs w:val="22"/>
              </w:rPr>
              <w:t>Libros</w:t>
            </w:r>
            <w:proofErr w:type="spellEnd"/>
            <w:r w:rsidRPr="00C96288">
              <w:rPr>
                <w:sz w:val="22"/>
                <w:szCs w:val="22"/>
              </w:rPr>
              <w:t>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Reyes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Graciela</w:t>
            </w:r>
            <w:proofErr w:type="spellEnd"/>
            <w:r w:rsidRPr="00C96288">
              <w:rPr>
                <w:sz w:val="22"/>
                <w:szCs w:val="22"/>
              </w:rPr>
              <w:t xml:space="preserve"> (2003): </w:t>
            </w:r>
            <w:r w:rsidRPr="00C96288">
              <w:rPr>
                <w:i/>
                <w:iCs/>
                <w:sz w:val="22"/>
                <w:szCs w:val="22"/>
              </w:rPr>
              <w:t xml:space="preserve">El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abecé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pragmática</w:t>
            </w:r>
            <w:proofErr w:type="spellEnd"/>
            <w:r w:rsidRPr="00C96288">
              <w:rPr>
                <w:sz w:val="22"/>
                <w:szCs w:val="22"/>
              </w:rPr>
              <w:t xml:space="preserve">, Madrid, </w:t>
            </w:r>
            <w:proofErr w:type="spellStart"/>
            <w:r w:rsidRPr="00C96288">
              <w:rPr>
                <w:sz w:val="22"/>
                <w:szCs w:val="22"/>
              </w:rPr>
              <w:t>Arco</w:t>
            </w:r>
            <w:proofErr w:type="spellEnd"/>
            <w:r w:rsidRPr="00C96288">
              <w:rPr>
                <w:sz w:val="22"/>
                <w:szCs w:val="22"/>
              </w:rPr>
              <w:t>/</w:t>
            </w:r>
            <w:proofErr w:type="spellStart"/>
            <w:r w:rsidRPr="00C96288">
              <w:rPr>
                <w:sz w:val="22"/>
                <w:szCs w:val="22"/>
              </w:rPr>
              <w:t>Libros</w:t>
            </w:r>
            <w:proofErr w:type="spellEnd"/>
            <w:r w:rsidRPr="00C96288">
              <w:rPr>
                <w:sz w:val="22"/>
                <w:szCs w:val="22"/>
              </w:rPr>
              <w:t>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 xml:space="preserve">Padilla García, </w:t>
            </w:r>
            <w:proofErr w:type="spellStart"/>
            <w:r w:rsidRPr="00C96288">
              <w:rPr>
                <w:sz w:val="22"/>
                <w:szCs w:val="22"/>
              </w:rPr>
              <w:t>Xose</w:t>
            </w:r>
            <w:proofErr w:type="spellEnd"/>
            <w:r w:rsidRPr="00C96288">
              <w:rPr>
                <w:sz w:val="22"/>
                <w:szCs w:val="22"/>
              </w:rPr>
              <w:t xml:space="preserve"> A. (2012): “¿</w:t>
            </w:r>
            <w:proofErr w:type="spellStart"/>
            <w:r w:rsidRPr="00C96288">
              <w:rPr>
                <w:sz w:val="22"/>
                <w:szCs w:val="22"/>
              </w:rPr>
              <w:t>Qué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tienen</w:t>
            </w:r>
            <w:proofErr w:type="spellEnd"/>
            <w:r w:rsidRPr="00C96288">
              <w:rPr>
                <w:sz w:val="22"/>
                <w:szCs w:val="22"/>
              </w:rPr>
              <w:t xml:space="preserve"> de ‘</w:t>
            </w:r>
            <w:proofErr w:type="spellStart"/>
            <w:r w:rsidRPr="00C96288">
              <w:rPr>
                <w:sz w:val="22"/>
                <w:szCs w:val="22"/>
              </w:rPr>
              <w:t>conversación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coloquial</w:t>
            </w:r>
            <w:proofErr w:type="spellEnd"/>
            <w:r w:rsidRPr="00C96288">
              <w:rPr>
                <w:sz w:val="22"/>
                <w:szCs w:val="22"/>
              </w:rPr>
              <w:t xml:space="preserve">’ </w:t>
            </w:r>
            <w:proofErr w:type="spellStart"/>
            <w:r w:rsidRPr="00C96288">
              <w:rPr>
                <w:sz w:val="22"/>
                <w:szCs w:val="22"/>
              </w:rPr>
              <w:t>los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diálogos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que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aparecen</w:t>
            </w:r>
            <w:proofErr w:type="spellEnd"/>
            <w:r w:rsidRPr="00C96288">
              <w:rPr>
                <w:sz w:val="22"/>
                <w:szCs w:val="22"/>
              </w:rPr>
              <w:t xml:space="preserve"> en </w:t>
            </w:r>
            <w:proofErr w:type="spellStart"/>
            <w:r w:rsidRPr="00C96288">
              <w:rPr>
                <w:sz w:val="22"/>
                <w:szCs w:val="22"/>
              </w:rPr>
              <w:t>los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libros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ELE</w:t>
            </w:r>
            <w:proofErr w:type="spellEnd"/>
            <w:r w:rsidRPr="00C96288">
              <w:rPr>
                <w:sz w:val="22"/>
                <w:szCs w:val="22"/>
              </w:rPr>
              <w:t>?”,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Verba</w:t>
            </w:r>
            <w:proofErr w:type="spellEnd"/>
            <w:r w:rsidRPr="00C96288">
              <w:rPr>
                <w:sz w:val="22"/>
                <w:szCs w:val="22"/>
              </w:rPr>
              <w:t>, 39, 83-16.</w:t>
            </w:r>
          </w:p>
          <w:p w:rsidR="00A40C2E" w:rsidRPr="00C96288" w:rsidRDefault="00C96288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94949"/>
                <w:sz w:val="23"/>
                <w:szCs w:val="23"/>
              </w:rPr>
            </w:pPr>
            <w:r w:rsidRPr="00C96288">
              <w:rPr>
                <w:sz w:val="22"/>
                <w:szCs w:val="22"/>
              </w:rPr>
              <w:t xml:space="preserve">Tusón </w:t>
            </w:r>
            <w:proofErr w:type="spellStart"/>
            <w:r w:rsidRPr="00C96288">
              <w:rPr>
                <w:sz w:val="22"/>
                <w:szCs w:val="22"/>
              </w:rPr>
              <w:t>Valls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Amparo</w:t>
            </w:r>
            <w:proofErr w:type="spellEnd"/>
            <w:r w:rsidRPr="00C96288">
              <w:rPr>
                <w:sz w:val="22"/>
                <w:szCs w:val="22"/>
              </w:rPr>
              <w:t xml:space="preserve"> (2003):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Análisis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conversación</w:t>
            </w:r>
            <w:proofErr w:type="spellEnd"/>
            <w:r w:rsidRPr="00C96288">
              <w:rPr>
                <w:sz w:val="22"/>
                <w:szCs w:val="22"/>
              </w:rPr>
              <w:t>, Barcelona, Ariel.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ajánlott olvasmányok (ha vannak)</w:t>
            </w:r>
          </w:p>
        </w:tc>
        <w:tc>
          <w:tcPr>
            <w:tcW w:w="6345" w:type="dxa"/>
          </w:tcPr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>Austin, John L. (1955)</w:t>
            </w:r>
            <w:r>
              <w:rPr>
                <w:sz w:val="22"/>
                <w:szCs w:val="22"/>
              </w:rPr>
              <w:t>:</w:t>
            </w:r>
            <w:r w:rsidRPr="00C96288">
              <w:rPr>
                <w:sz w:val="22"/>
                <w:szCs w:val="22"/>
              </w:rPr>
              <w:t>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Cómo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hacer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cosas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con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palabras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Edición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electrónica</w:t>
            </w:r>
            <w:proofErr w:type="spellEnd"/>
            <w:r w:rsidRPr="00C96288">
              <w:rPr>
                <w:sz w:val="22"/>
                <w:szCs w:val="22"/>
              </w:rPr>
              <w:t xml:space="preserve"> de </w:t>
            </w:r>
            <w:hyperlink r:id="rId8" w:tgtFrame="_blank" w:history="1">
              <w:r w:rsidRPr="00C96288">
                <w:rPr>
                  <w:rStyle w:val="Hiperhivatkozs"/>
                  <w:color w:val="auto"/>
                  <w:sz w:val="22"/>
                  <w:szCs w:val="22"/>
                </w:rPr>
                <w:t>http://www.philosophia.cl/,</w:t>
              </w:r>
            </w:hyperlink>
            <w:r w:rsidRPr="00C96288">
              <w:rPr>
                <w:sz w:val="22"/>
                <w:szCs w:val="22"/>
              </w:rPr>
              <w:t> </w:t>
            </w:r>
            <w:proofErr w:type="spellStart"/>
            <w:r w:rsidRPr="00C96288">
              <w:rPr>
                <w:sz w:val="22"/>
                <w:szCs w:val="22"/>
              </w:rPr>
              <w:t>Escuela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Filosofía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ARCIS</w:t>
            </w:r>
            <w:proofErr w:type="spellEnd"/>
            <w:r w:rsidRPr="00C96288">
              <w:rPr>
                <w:sz w:val="22"/>
                <w:szCs w:val="22"/>
              </w:rPr>
              <w:t>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Briz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Gómez</w:t>
            </w:r>
            <w:proofErr w:type="spellEnd"/>
            <w:r w:rsidRPr="00C96288">
              <w:rPr>
                <w:sz w:val="22"/>
                <w:szCs w:val="22"/>
              </w:rPr>
              <w:t>, A. (1998): </w:t>
            </w:r>
            <w:r w:rsidRPr="00C96288">
              <w:rPr>
                <w:i/>
                <w:iCs/>
                <w:sz w:val="22"/>
                <w:szCs w:val="22"/>
              </w:rPr>
              <w:t xml:space="preserve">El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español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coloquial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en la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conversación</w:t>
            </w:r>
            <w:proofErr w:type="spellEnd"/>
            <w:r w:rsidRPr="00C96288">
              <w:rPr>
                <w:sz w:val="22"/>
                <w:szCs w:val="22"/>
              </w:rPr>
              <w:t>, Barcelona, Ariel.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6288">
              <w:rPr>
                <w:sz w:val="22"/>
                <w:szCs w:val="22"/>
              </w:rPr>
              <w:t>Carter, Ronald and McCarthy, Michael (2004): “</w:t>
            </w:r>
            <w:proofErr w:type="spellStart"/>
            <w:r w:rsidRPr="00C96288">
              <w:rPr>
                <w:sz w:val="22"/>
                <w:szCs w:val="22"/>
              </w:rPr>
              <w:t>Talking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Creating</w:t>
            </w:r>
            <w:proofErr w:type="spellEnd"/>
            <w:r w:rsidRPr="00C96288">
              <w:rPr>
                <w:sz w:val="22"/>
                <w:szCs w:val="22"/>
              </w:rPr>
              <w:t xml:space="preserve">: </w:t>
            </w:r>
            <w:proofErr w:type="spellStart"/>
            <w:r w:rsidRPr="00C96288">
              <w:rPr>
                <w:sz w:val="22"/>
                <w:szCs w:val="22"/>
              </w:rPr>
              <w:t>Interactional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Language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Creativity</w:t>
            </w:r>
            <w:proofErr w:type="spellEnd"/>
            <w:r w:rsidRPr="00C96288">
              <w:rPr>
                <w:sz w:val="22"/>
                <w:szCs w:val="22"/>
              </w:rPr>
              <w:t xml:space="preserve">, and </w:t>
            </w:r>
            <w:proofErr w:type="spellStart"/>
            <w:r w:rsidRPr="00C96288">
              <w:rPr>
                <w:sz w:val="22"/>
                <w:szCs w:val="22"/>
              </w:rPr>
              <w:t>Context</w:t>
            </w:r>
            <w:proofErr w:type="spellEnd"/>
            <w:r w:rsidRPr="00C96288">
              <w:rPr>
                <w:sz w:val="22"/>
                <w:szCs w:val="22"/>
              </w:rPr>
              <w:t>”,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Applied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Linguistics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>,</w:t>
            </w:r>
            <w:r w:rsidRPr="00C96288">
              <w:rPr>
                <w:sz w:val="22"/>
                <w:szCs w:val="22"/>
              </w:rPr>
              <w:t> 25/1, 62-88.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Cestero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Mancera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Ana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Mª</w:t>
            </w:r>
            <w:proofErr w:type="spellEnd"/>
            <w:r w:rsidRPr="00C96288">
              <w:rPr>
                <w:sz w:val="22"/>
                <w:szCs w:val="22"/>
              </w:rPr>
              <w:t xml:space="preserve"> (1994): “</w:t>
            </w:r>
            <w:proofErr w:type="spellStart"/>
            <w:r w:rsidRPr="00C96288">
              <w:rPr>
                <w:sz w:val="22"/>
                <w:szCs w:val="22"/>
              </w:rPr>
              <w:t>Intercambio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turnos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habla</w:t>
            </w:r>
            <w:proofErr w:type="spellEnd"/>
            <w:r w:rsidRPr="00C96288">
              <w:rPr>
                <w:sz w:val="22"/>
                <w:szCs w:val="22"/>
              </w:rPr>
              <w:t xml:space="preserve"> en la </w:t>
            </w:r>
            <w:proofErr w:type="spellStart"/>
            <w:r w:rsidRPr="00C96288">
              <w:rPr>
                <w:sz w:val="22"/>
                <w:szCs w:val="22"/>
              </w:rPr>
              <w:t>conversación</w:t>
            </w:r>
            <w:proofErr w:type="spellEnd"/>
            <w:r w:rsidRPr="00C96288">
              <w:rPr>
                <w:sz w:val="22"/>
                <w:szCs w:val="22"/>
              </w:rPr>
              <w:t xml:space="preserve"> en </w:t>
            </w:r>
            <w:proofErr w:type="spellStart"/>
            <w:r w:rsidRPr="00C96288">
              <w:rPr>
                <w:sz w:val="22"/>
                <w:szCs w:val="22"/>
              </w:rPr>
              <w:t>lengua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española</w:t>
            </w:r>
            <w:proofErr w:type="spellEnd"/>
            <w:r w:rsidRPr="00C96288">
              <w:rPr>
                <w:sz w:val="22"/>
                <w:szCs w:val="22"/>
              </w:rPr>
              <w:t>”,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Revista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Lingüística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>,</w:t>
            </w:r>
            <w:r w:rsidRPr="00C96288">
              <w:rPr>
                <w:sz w:val="22"/>
                <w:szCs w:val="22"/>
              </w:rPr>
              <w:t> 24/1, 77-99.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Grice</w:t>
            </w:r>
            <w:proofErr w:type="spellEnd"/>
            <w:r w:rsidRPr="00C96288">
              <w:rPr>
                <w:sz w:val="22"/>
                <w:szCs w:val="22"/>
              </w:rPr>
              <w:t>, H. Paul, “</w:t>
            </w:r>
            <w:proofErr w:type="spellStart"/>
            <w:r w:rsidRPr="00C96288">
              <w:rPr>
                <w:sz w:val="22"/>
                <w:szCs w:val="22"/>
              </w:rPr>
              <w:t>Logic</w:t>
            </w:r>
            <w:proofErr w:type="spellEnd"/>
            <w:r w:rsidRPr="00C96288">
              <w:rPr>
                <w:sz w:val="22"/>
                <w:szCs w:val="22"/>
              </w:rPr>
              <w:t xml:space="preserve"> and </w:t>
            </w:r>
            <w:proofErr w:type="spellStart"/>
            <w:r w:rsidRPr="00C96288">
              <w:rPr>
                <w:sz w:val="22"/>
                <w:szCs w:val="22"/>
              </w:rPr>
              <w:t>Conversation</w:t>
            </w:r>
            <w:proofErr w:type="spellEnd"/>
            <w:r w:rsidRPr="00C96288">
              <w:rPr>
                <w:sz w:val="22"/>
                <w:szCs w:val="22"/>
              </w:rPr>
              <w:t>”.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Syntax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semantics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vol</w:t>
            </w:r>
            <w:proofErr w:type="spellEnd"/>
            <w:r w:rsidRPr="00C96288">
              <w:rPr>
                <w:sz w:val="22"/>
                <w:szCs w:val="22"/>
              </w:rPr>
              <w:t xml:space="preserve">. 3, </w:t>
            </w:r>
            <w:proofErr w:type="spellStart"/>
            <w:r w:rsidRPr="00C96288">
              <w:rPr>
                <w:sz w:val="22"/>
                <w:szCs w:val="22"/>
              </w:rPr>
              <w:t>Academic</w:t>
            </w:r>
            <w:proofErr w:type="spellEnd"/>
            <w:r w:rsidRPr="00C96288">
              <w:rPr>
                <w:sz w:val="22"/>
                <w:szCs w:val="22"/>
              </w:rPr>
              <w:t xml:space="preserve"> Press, New York, 1975, 41-57.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Garrido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Rodríguez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María</w:t>
            </w:r>
            <w:proofErr w:type="spellEnd"/>
            <w:r w:rsidRPr="00C96288">
              <w:rPr>
                <w:sz w:val="22"/>
                <w:szCs w:val="22"/>
              </w:rPr>
              <w:t xml:space="preserve"> del </w:t>
            </w:r>
            <w:proofErr w:type="spellStart"/>
            <w:r w:rsidRPr="00C96288">
              <w:rPr>
                <w:sz w:val="22"/>
                <w:szCs w:val="22"/>
              </w:rPr>
              <w:t>Camino</w:t>
            </w:r>
            <w:proofErr w:type="spellEnd"/>
            <w:r w:rsidRPr="00C96288">
              <w:rPr>
                <w:sz w:val="22"/>
                <w:szCs w:val="22"/>
              </w:rPr>
              <w:t xml:space="preserve"> (2005): “</w:t>
            </w:r>
            <w:proofErr w:type="spellStart"/>
            <w:r w:rsidRPr="00C96288">
              <w:rPr>
                <w:sz w:val="22"/>
                <w:szCs w:val="22"/>
              </w:rPr>
              <w:t>Cortesía</w:t>
            </w:r>
            <w:proofErr w:type="spellEnd"/>
            <w:r w:rsidRPr="00C96288">
              <w:rPr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sz w:val="22"/>
                <w:szCs w:val="22"/>
              </w:rPr>
              <w:t>actos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habla</w:t>
            </w:r>
            <w:proofErr w:type="spellEnd"/>
            <w:r w:rsidRPr="00C96288">
              <w:rPr>
                <w:sz w:val="22"/>
                <w:szCs w:val="22"/>
              </w:rPr>
              <w:t xml:space="preserve"> en la </w:t>
            </w:r>
            <w:proofErr w:type="spellStart"/>
            <w:r w:rsidRPr="00C96288">
              <w:rPr>
                <w:sz w:val="22"/>
                <w:szCs w:val="22"/>
              </w:rPr>
              <w:t>enseñanza</w:t>
            </w:r>
            <w:proofErr w:type="spellEnd"/>
            <w:r w:rsidRPr="00C96288">
              <w:rPr>
                <w:sz w:val="22"/>
                <w:szCs w:val="22"/>
              </w:rPr>
              <w:t xml:space="preserve"> de E/LE” en </w:t>
            </w:r>
            <w:proofErr w:type="spellStart"/>
            <w:r w:rsidRPr="00C96288">
              <w:rPr>
                <w:sz w:val="22"/>
                <w:szCs w:val="22"/>
              </w:rPr>
              <w:t>Alfredo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Álvarez</w:t>
            </w:r>
            <w:proofErr w:type="spellEnd"/>
            <w:r w:rsidRPr="00C96288">
              <w:rPr>
                <w:sz w:val="22"/>
                <w:szCs w:val="22"/>
              </w:rPr>
              <w:t xml:space="preserve"> et </w:t>
            </w:r>
            <w:proofErr w:type="spellStart"/>
            <w:r w:rsidRPr="00C96288">
              <w:rPr>
                <w:sz w:val="22"/>
                <w:szCs w:val="22"/>
              </w:rPr>
              <w:t>al</w:t>
            </w:r>
            <w:proofErr w:type="spellEnd"/>
            <w:r w:rsidRPr="00C96288">
              <w:rPr>
                <w:sz w:val="22"/>
                <w:szCs w:val="22"/>
              </w:rPr>
              <w:t>. (</w:t>
            </w:r>
            <w:proofErr w:type="spellStart"/>
            <w:r w:rsidRPr="00C96288">
              <w:rPr>
                <w:sz w:val="22"/>
                <w:szCs w:val="22"/>
              </w:rPr>
              <w:t>eds</w:t>
            </w:r>
            <w:proofErr w:type="spellEnd"/>
            <w:r w:rsidRPr="00C96288">
              <w:rPr>
                <w:sz w:val="22"/>
                <w:szCs w:val="22"/>
              </w:rPr>
              <w:t>.): </w:t>
            </w:r>
            <w:r w:rsidRPr="00C96288">
              <w:rPr>
                <w:i/>
                <w:iCs/>
                <w:sz w:val="22"/>
                <w:szCs w:val="22"/>
              </w:rPr>
              <w:t xml:space="preserve">La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competencia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pragmática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y la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enseñanza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del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español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como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lengua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extranjera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Actas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del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XVI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Congreso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Internacional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ASELE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>, </w:t>
            </w:r>
            <w:proofErr w:type="spellStart"/>
            <w:r w:rsidRPr="00C96288">
              <w:rPr>
                <w:sz w:val="22"/>
                <w:szCs w:val="22"/>
              </w:rPr>
              <w:t>Oviedo</w:t>
            </w:r>
            <w:proofErr w:type="spellEnd"/>
            <w:r w:rsidRPr="00C96288">
              <w:rPr>
                <w:sz w:val="22"/>
                <w:szCs w:val="22"/>
              </w:rPr>
              <w:t xml:space="preserve">, </w:t>
            </w:r>
            <w:proofErr w:type="spellStart"/>
            <w:r w:rsidRPr="00C96288">
              <w:rPr>
                <w:sz w:val="22"/>
                <w:szCs w:val="22"/>
              </w:rPr>
              <w:t>Universidad</w:t>
            </w:r>
            <w:proofErr w:type="spellEnd"/>
            <w:r w:rsidRPr="00C96288">
              <w:rPr>
                <w:sz w:val="22"/>
                <w:szCs w:val="22"/>
              </w:rPr>
              <w:t xml:space="preserve"> de </w:t>
            </w:r>
            <w:proofErr w:type="spellStart"/>
            <w:r w:rsidRPr="00C96288">
              <w:rPr>
                <w:sz w:val="22"/>
                <w:szCs w:val="22"/>
              </w:rPr>
              <w:t>Oviedo</w:t>
            </w:r>
            <w:proofErr w:type="spellEnd"/>
            <w:r w:rsidRPr="00C96288">
              <w:rPr>
                <w:sz w:val="22"/>
                <w:szCs w:val="22"/>
              </w:rPr>
              <w:t>, 308-317.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Hidalgo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Navarro</w:t>
            </w:r>
            <w:proofErr w:type="spellEnd"/>
            <w:r w:rsidRPr="00C96288">
              <w:rPr>
                <w:sz w:val="22"/>
                <w:szCs w:val="22"/>
              </w:rPr>
              <w:t>, Antonio (2003): “</w:t>
            </w:r>
            <w:proofErr w:type="spellStart"/>
            <w:r w:rsidRPr="00C96288">
              <w:rPr>
                <w:sz w:val="22"/>
                <w:szCs w:val="22"/>
              </w:rPr>
              <w:t>Microestructura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discursiva</w:t>
            </w:r>
            <w:proofErr w:type="spellEnd"/>
            <w:r w:rsidRPr="00C96288">
              <w:rPr>
                <w:sz w:val="22"/>
                <w:szCs w:val="22"/>
              </w:rPr>
              <w:t xml:space="preserve"> y </w:t>
            </w:r>
            <w:proofErr w:type="spellStart"/>
            <w:r w:rsidRPr="00C96288">
              <w:rPr>
                <w:sz w:val="22"/>
                <w:szCs w:val="22"/>
              </w:rPr>
              <w:t>segmentación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informativa</w:t>
            </w:r>
            <w:proofErr w:type="spellEnd"/>
            <w:r w:rsidRPr="00C96288">
              <w:rPr>
                <w:sz w:val="22"/>
                <w:szCs w:val="22"/>
              </w:rPr>
              <w:t xml:space="preserve"> en la </w:t>
            </w:r>
            <w:proofErr w:type="spellStart"/>
            <w:r w:rsidRPr="00C96288">
              <w:rPr>
                <w:sz w:val="22"/>
                <w:szCs w:val="22"/>
              </w:rPr>
              <w:t>conversación</w:t>
            </w:r>
            <w:proofErr w:type="spellEnd"/>
            <w:r w:rsidRPr="00C96288">
              <w:rPr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sz w:val="22"/>
                <w:szCs w:val="22"/>
              </w:rPr>
              <w:t>coloquial</w:t>
            </w:r>
            <w:proofErr w:type="spellEnd"/>
            <w:r w:rsidRPr="00C96288">
              <w:rPr>
                <w:sz w:val="22"/>
                <w:szCs w:val="22"/>
              </w:rPr>
              <w:t>”,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ELUA</w:t>
            </w:r>
            <w:proofErr w:type="spellEnd"/>
            <w:r w:rsidRPr="00C96288">
              <w:rPr>
                <w:sz w:val="22"/>
                <w:szCs w:val="22"/>
              </w:rPr>
              <w:t>, 17, 367-385.</w:t>
            </w:r>
          </w:p>
          <w:p w:rsidR="00C96288" w:rsidRPr="00C96288" w:rsidRDefault="00C96288" w:rsidP="00C96288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96288">
              <w:rPr>
                <w:sz w:val="22"/>
                <w:szCs w:val="22"/>
              </w:rPr>
              <w:t>Marcellesi</w:t>
            </w:r>
            <w:proofErr w:type="spellEnd"/>
            <w:r w:rsidRPr="00C96288">
              <w:rPr>
                <w:sz w:val="22"/>
                <w:szCs w:val="22"/>
              </w:rPr>
              <w:t xml:space="preserve">, Jean </w:t>
            </w:r>
            <w:proofErr w:type="spellStart"/>
            <w:r w:rsidRPr="00C96288">
              <w:rPr>
                <w:sz w:val="22"/>
                <w:szCs w:val="22"/>
              </w:rPr>
              <w:t>Baptiste</w:t>
            </w:r>
            <w:proofErr w:type="spellEnd"/>
            <w:r w:rsidRPr="00C96288">
              <w:rPr>
                <w:sz w:val="22"/>
                <w:szCs w:val="22"/>
              </w:rPr>
              <w:t xml:space="preserve"> (1978):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Introducción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a la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sociolingüística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. La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lingüística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social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>,</w:t>
            </w:r>
            <w:r w:rsidRPr="00C96288">
              <w:rPr>
                <w:sz w:val="22"/>
                <w:szCs w:val="22"/>
              </w:rPr>
              <w:t xml:space="preserve"> Madrid, </w:t>
            </w:r>
            <w:proofErr w:type="spellStart"/>
            <w:r w:rsidRPr="00C96288">
              <w:rPr>
                <w:sz w:val="22"/>
                <w:szCs w:val="22"/>
              </w:rPr>
              <w:t>Gredos</w:t>
            </w:r>
            <w:proofErr w:type="spellEnd"/>
            <w:r w:rsidRPr="00C96288">
              <w:rPr>
                <w:sz w:val="22"/>
                <w:szCs w:val="22"/>
              </w:rPr>
              <w:t>.</w:t>
            </w:r>
          </w:p>
          <w:p w:rsidR="00A40C2E" w:rsidRPr="00C96288" w:rsidRDefault="00C96288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94949"/>
                <w:sz w:val="23"/>
                <w:szCs w:val="23"/>
              </w:rPr>
            </w:pPr>
            <w:proofErr w:type="spellStart"/>
            <w:r w:rsidRPr="00C96288">
              <w:rPr>
                <w:sz w:val="22"/>
                <w:szCs w:val="22"/>
              </w:rPr>
              <w:lastRenderedPageBreak/>
              <w:t>Searle</w:t>
            </w:r>
            <w:proofErr w:type="spellEnd"/>
            <w:r w:rsidRPr="00C96288">
              <w:rPr>
                <w:sz w:val="22"/>
                <w:szCs w:val="22"/>
              </w:rPr>
              <w:t>, John,</w:t>
            </w:r>
            <w:r w:rsidRPr="00C96288">
              <w:rPr>
                <w:i/>
                <w:iCs/>
                <w:sz w:val="22"/>
                <w:szCs w:val="22"/>
              </w:rPr>
              <w:t> 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Speech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Acts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: An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Essay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in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Philosophy</w:t>
            </w:r>
            <w:proofErr w:type="spellEnd"/>
            <w:r w:rsidRPr="00C96288">
              <w:rPr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C96288">
              <w:rPr>
                <w:i/>
                <w:iCs/>
                <w:sz w:val="22"/>
                <w:szCs w:val="22"/>
              </w:rPr>
              <w:t>Language</w:t>
            </w:r>
            <w:proofErr w:type="spellEnd"/>
            <w:r w:rsidRPr="00C96288">
              <w:rPr>
                <w:sz w:val="22"/>
                <w:szCs w:val="22"/>
              </w:rPr>
              <w:t xml:space="preserve">, Cambridge, </w:t>
            </w:r>
            <w:proofErr w:type="spellStart"/>
            <w:r w:rsidRPr="00C96288">
              <w:rPr>
                <w:sz w:val="22"/>
                <w:szCs w:val="22"/>
              </w:rPr>
              <w:t>Cambridge</w:t>
            </w:r>
            <w:proofErr w:type="spellEnd"/>
            <w:r w:rsidRPr="00C96288">
              <w:rPr>
                <w:sz w:val="22"/>
                <w:szCs w:val="22"/>
              </w:rPr>
              <w:t xml:space="preserve"> University Press, 1969.</w:t>
            </w:r>
          </w:p>
        </w:tc>
      </w:tr>
    </w:tbl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520551">
      <w:pPr>
        <w:rPr>
          <w:color w:val="1F497D"/>
        </w:rPr>
      </w:pPr>
    </w:p>
    <w:sectPr w:rsidR="00A40C2E" w:rsidRPr="005C256C" w:rsidSect="00214114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FF" w:rsidRDefault="00F16EFF" w:rsidP="009C01F4">
      <w:r>
        <w:separator/>
      </w:r>
    </w:p>
  </w:endnote>
  <w:endnote w:type="continuationSeparator" w:id="0">
    <w:p w:rsidR="00F16EFF" w:rsidRDefault="00F16EFF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pi">
    <w:altName w:val="Times New Roman"/>
    <w:charset w:val="01"/>
    <w:family w:val="roman"/>
    <w:pitch w:val="default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FF" w:rsidRDefault="00F16EFF" w:rsidP="009C01F4">
      <w:r>
        <w:separator/>
      </w:r>
    </w:p>
  </w:footnote>
  <w:footnote w:type="continuationSeparator" w:id="0">
    <w:p w:rsidR="00F16EFF" w:rsidRDefault="00F16EFF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E" w:rsidRPr="00262753" w:rsidRDefault="008D75A5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www.arts.u-szeged.hu</w:t>
    </w:r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facebook.com/szegedbtk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facebook.com/sztebtk.bagolyposta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instagram.com/sztebtk</w:t>
    </w:r>
  </w:p>
  <w:p w:rsidR="00A40C2E" w:rsidRPr="00081DCF" w:rsidRDefault="00F16EFF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02"/>
    <w:rsid w:val="00072702"/>
    <w:rsid w:val="00072A89"/>
    <w:rsid w:val="0007742D"/>
    <w:rsid w:val="00081DCF"/>
    <w:rsid w:val="00082AF0"/>
    <w:rsid w:val="000A1CBF"/>
    <w:rsid w:val="000F2C43"/>
    <w:rsid w:val="001058C2"/>
    <w:rsid w:val="00173EAA"/>
    <w:rsid w:val="00186850"/>
    <w:rsid w:val="001B3C2D"/>
    <w:rsid w:val="001B6AD3"/>
    <w:rsid w:val="001D1F18"/>
    <w:rsid w:val="001E126F"/>
    <w:rsid w:val="001E5035"/>
    <w:rsid w:val="001F2205"/>
    <w:rsid w:val="001F4F4F"/>
    <w:rsid w:val="00214114"/>
    <w:rsid w:val="0021645A"/>
    <w:rsid w:val="002178CB"/>
    <w:rsid w:val="002440BA"/>
    <w:rsid w:val="00262733"/>
    <w:rsid w:val="00262753"/>
    <w:rsid w:val="00265794"/>
    <w:rsid w:val="00287F1A"/>
    <w:rsid w:val="002B7403"/>
    <w:rsid w:val="002D7604"/>
    <w:rsid w:val="002E4C5F"/>
    <w:rsid w:val="002F48B8"/>
    <w:rsid w:val="003341A0"/>
    <w:rsid w:val="00335A4B"/>
    <w:rsid w:val="00343E6A"/>
    <w:rsid w:val="0035628B"/>
    <w:rsid w:val="00361BE3"/>
    <w:rsid w:val="003807E8"/>
    <w:rsid w:val="003A23E9"/>
    <w:rsid w:val="003A4DF4"/>
    <w:rsid w:val="003B7F6E"/>
    <w:rsid w:val="003C0A6C"/>
    <w:rsid w:val="003E7380"/>
    <w:rsid w:val="00410384"/>
    <w:rsid w:val="004323EA"/>
    <w:rsid w:val="00455D59"/>
    <w:rsid w:val="00480805"/>
    <w:rsid w:val="004A2FDF"/>
    <w:rsid w:val="004E1350"/>
    <w:rsid w:val="00507FD7"/>
    <w:rsid w:val="00512F46"/>
    <w:rsid w:val="00520551"/>
    <w:rsid w:val="00521C75"/>
    <w:rsid w:val="005228FB"/>
    <w:rsid w:val="00542305"/>
    <w:rsid w:val="00561DCE"/>
    <w:rsid w:val="0058772C"/>
    <w:rsid w:val="005A5DB3"/>
    <w:rsid w:val="005C256C"/>
    <w:rsid w:val="005E7710"/>
    <w:rsid w:val="00610D46"/>
    <w:rsid w:val="0061561A"/>
    <w:rsid w:val="00645094"/>
    <w:rsid w:val="00645F17"/>
    <w:rsid w:val="00650ED0"/>
    <w:rsid w:val="00674CC6"/>
    <w:rsid w:val="006E4C67"/>
    <w:rsid w:val="006F49EE"/>
    <w:rsid w:val="0072103B"/>
    <w:rsid w:val="00772B7C"/>
    <w:rsid w:val="00792851"/>
    <w:rsid w:val="007D109F"/>
    <w:rsid w:val="007F55BE"/>
    <w:rsid w:val="0081287A"/>
    <w:rsid w:val="008334E3"/>
    <w:rsid w:val="00836997"/>
    <w:rsid w:val="008678B3"/>
    <w:rsid w:val="00871408"/>
    <w:rsid w:val="0089785E"/>
    <w:rsid w:val="008A77D0"/>
    <w:rsid w:val="008B09A4"/>
    <w:rsid w:val="008D75A5"/>
    <w:rsid w:val="008E5E3D"/>
    <w:rsid w:val="008F3AB7"/>
    <w:rsid w:val="008F3F0B"/>
    <w:rsid w:val="0093070F"/>
    <w:rsid w:val="009656CD"/>
    <w:rsid w:val="00967B11"/>
    <w:rsid w:val="00976AAB"/>
    <w:rsid w:val="0099135A"/>
    <w:rsid w:val="00997F0D"/>
    <w:rsid w:val="009C01F4"/>
    <w:rsid w:val="009C4ED3"/>
    <w:rsid w:val="00A00C8E"/>
    <w:rsid w:val="00A05827"/>
    <w:rsid w:val="00A215C3"/>
    <w:rsid w:val="00A215FF"/>
    <w:rsid w:val="00A40C2E"/>
    <w:rsid w:val="00A63047"/>
    <w:rsid w:val="00A7652A"/>
    <w:rsid w:val="00AB4B94"/>
    <w:rsid w:val="00AC3406"/>
    <w:rsid w:val="00AF51B6"/>
    <w:rsid w:val="00B12604"/>
    <w:rsid w:val="00B339CE"/>
    <w:rsid w:val="00B77F6E"/>
    <w:rsid w:val="00B94990"/>
    <w:rsid w:val="00B97217"/>
    <w:rsid w:val="00BD735D"/>
    <w:rsid w:val="00BE602B"/>
    <w:rsid w:val="00BF0D19"/>
    <w:rsid w:val="00BF1C28"/>
    <w:rsid w:val="00C16B05"/>
    <w:rsid w:val="00C2494F"/>
    <w:rsid w:val="00C277F8"/>
    <w:rsid w:val="00C3323C"/>
    <w:rsid w:val="00C54E03"/>
    <w:rsid w:val="00C76F48"/>
    <w:rsid w:val="00C834FE"/>
    <w:rsid w:val="00C96288"/>
    <w:rsid w:val="00CA51D0"/>
    <w:rsid w:val="00CB2CFE"/>
    <w:rsid w:val="00CC55DA"/>
    <w:rsid w:val="00CE2C84"/>
    <w:rsid w:val="00CF5BA1"/>
    <w:rsid w:val="00D07090"/>
    <w:rsid w:val="00D31A01"/>
    <w:rsid w:val="00D3326B"/>
    <w:rsid w:val="00D35BC4"/>
    <w:rsid w:val="00D433C3"/>
    <w:rsid w:val="00D438EA"/>
    <w:rsid w:val="00D537C9"/>
    <w:rsid w:val="00DA39B8"/>
    <w:rsid w:val="00DA3F45"/>
    <w:rsid w:val="00DF5A67"/>
    <w:rsid w:val="00E0501A"/>
    <w:rsid w:val="00E128ED"/>
    <w:rsid w:val="00E13C28"/>
    <w:rsid w:val="00E1577C"/>
    <w:rsid w:val="00E32EEB"/>
    <w:rsid w:val="00E34B74"/>
    <w:rsid w:val="00E412A8"/>
    <w:rsid w:val="00E571B4"/>
    <w:rsid w:val="00E7108F"/>
    <w:rsid w:val="00EE7B51"/>
    <w:rsid w:val="00F16EA7"/>
    <w:rsid w:val="00F16EFF"/>
    <w:rsid w:val="00F42EA8"/>
    <w:rsid w:val="00F8071F"/>
    <w:rsid w:val="00F84C44"/>
    <w:rsid w:val="00FA09F2"/>
    <w:rsid w:val="00FC1171"/>
    <w:rsid w:val="00FC7999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DF5A6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unhideWhenUsed/>
    <w:rsid w:val="008D75A5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basedOn w:val="Bekezdsalapbettpusa"/>
    <w:link w:val="Cmsor1"/>
    <w:uiPriority w:val="9"/>
    <w:rsid w:val="00DF5A67"/>
    <w:rPr>
      <w:b/>
      <w:bCs/>
      <w:kern w:val="36"/>
      <w:sz w:val="48"/>
      <w:szCs w:val="48"/>
    </w:rPr>
  </w:style>
  <w:style w:type="character" w:customStyle="1" w:styleId="Cm1">
    <w:name w:val="Cím1"/>
    <w:basedOn w:val="Bekezdsalapbettpusa"/>
    <w:rsid w:val="00DF5A67"/>
  </w:style>
  <w:style w:type="paragraph" w:customStyle="1" w:styleId="Szvegtrzs31">
    <w:name w:val="Szövegtörzs 31"/>
    <w:basedOn w:val="Norml"/>
    <w:rsid w:val="00D07090"/>
    <w:pPr>
      <w:tabs>
        <w:tab w:val="right" w:pos="9214"/>
      </w:tabs>
      <w:suppressAutoHyphens/>
    </w:pPr>
    <w:rPr>
      <w:rFonts w:ascii="Fpi" w:eastAsia="Droid Sans Fallback" w:hAnsi="Fpi" w:cs="Fpi"/>
      <w:color w:val="000000"/>
      <w:kern w:val="1"/>
      <w:sz w:val="20"/>
      <w:szCs w:val="20"/>
      <w:lang w:eastAsia="zh-CN"/>
    </w:rPr>
  </w:style>
  <w:style w:type="paragraph" w:customStyle="1" w:styleId="bodytext2">
    <w:name w:val="bodytext2"/>
    <w:basedOn w:val="Norml"/>
    <w:rsid w:val="00C16B05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DF5A6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unhideWhenUsed/>
    <w:rsid w:val="008D75A5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basedOn w:val="Bekezdsalapbettpusa"/>
    <w:link w:val="Cmsor1"/>
    <w:uiPriority w:val="9"/>
    <w:rsid w:val="00DF5A67"/>
    <w:rPr>
      <w:b/>
      <w:bCs/>
      <w:kern w:val="36"/>
      <w:sz w:val="48"/>
      <w:szCs w:val="48"/>
    </w:rPr>
  </w:style>
  <w:style w:type="character" w:customStyle="1" w:styleId="Cm1">
    <w:name w:val="Cím1"/>
    <w:basedOn w:val="Bekezdsalapbettpusa"/>
    <w:rsid w:val="00DF5A67"/>
  </w:style>
  <w:style w:type="paragraph" w:customStyle="1" w:styleId="Szvegtrzs31">
    <w:name w:val="Szövegtörzs 31"/>
    <w:basedOn w:val="Norml"/>
    <w:rsid w:val="00D07090"/>
    <w:pPr>
      <w:tabs>
        <w:tab w:val="right" w:pos="9214"/>
      </w:tabs>
      <w:suppressAutoHyphens/>
    </w:pPr>
    <w:rPr>
      <w:rFonts w:ascii="Fpi" w:eastAsia="Droid Sans Fallback" w:hAnsi="Fpi" w:cs="Fpi"/>
      <w:color w:val="000000"/>
      <w:kern w:val="1"/>
      <w:sz w:val="20"/>
      <w:szCs w:val="20"/>
      <w:lang w:eastAsia="zh-CN"/>
    </w:rPr>
  </w:style>
  <w:style w:type="paragraph" w:customStyle="1" w:styleId="bodytext2">
    <w:name w:val="bodytext2"/>
    <w:basedOn w:val="Norml"/>
    <w:rsid w:val="00C16B0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ia.cl/,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maniaminor.net/ianua/sup/sup0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636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SZTE BTK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Kelemen Éva</dc:creator>
  <cp:keywords/>
  <dc:description/>
  <cp:lastModifiedBy>Jeney Zsuzsanna</cp:lastModifiedBy>
  <cp:revision>7</cp:revision>
  <cp:lastPrinted>2014-09-11T11:01:00Z</cp:lastPrinted>
  <dcterms:created xsi:type="dcterms:W3CDTF">2018-01-05T13:39:00Z</dcterms:created>
  <dcterms:modified xsi:type="dcterms:W3CDTF">2020-02-10T14:39:00Z</dcterms:modified>
</cp:coreProperties>
</file>